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1B" w:rsidRDefault="005C42D7">
      <w:pPr>
        <w:rPr>
          <w:rFonts w:ascii="Arial" w:hAnsi="Arial" w:cs="Arial"/>
          <w:lang w:val="en-GB"/>
        </w:rPr>
      </w:pPr>
      <w:r w:rsidRPr="005C42D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1F62167" wp14:editId="2A6C2E82">
            <wp:simplePos x="0" y="0"/>
            <wp:positionH relativeFrom="column">
              <wp:posOffset>5102860</wp:posOffset>
            </wp:positionH>
            <wp:positionV relativeFrom="paragraph">
              <wp:posOffset>-123825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546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33" w:rsidRPr="005C42D7">
        <w:rPr>
          <w:rFonts w:ascii="Arial" w:hAnsi="Arial" w:cs="Arial"/>
          <w:lang w:val="en-GB"/>
        </w:rPr>
        <w:tab/>
      </w:r>
    </w:p>
    <w:p w:rsidR="00172319" w:rsidRPr="005C42D7" w:rsidRDefault="00B27533">
      <w:pPr>
        <w:rPr>
          <w:rFonts w:ascii="Arial" w:hAnsi="Arial" w:cs="Arial"/>
          <w:lang w:val="en-GB"/>
        </w:rPr>
      </w:pPr>
      <w:r w:rsidRPr="005C42D7">
        <w:rPr>
          <w:rFonts w:ascii="Arial" w:hAnsi="Arial" w:cs="Arial"/>
          <w:lang w:val="en-GB"/>
        </w:rPr>
        <w:tab/>
      </w:r>
      <w:r w:rsidRPr="005C42D7">
        <w:rPr>
          <w:rFonts w:ascii="Arial" w:hAnsi="Arial" w:cs="Arial"/>
          <w:lang w:val="en-GB"/>
        </w:rPr>
        <w:tab/>
      </w:r>
      <w:r w:rsidRPr="005C42D7">
        <w:rPr>
          <w:rFonts w:ascii="Arial" w:hAnsi="Arial" w:cs="Arial"/>
          <w:lang w:val="en-GB"/>
        </w:rPr>
        <w:tab/>
      </w:r>
      <w:r w:rsidR="009A0ECC" w:rsidRPr="005C42D7">
        <w:rPr>
          <w:rFonts w:ascii="Arial" w:hAnsi="Arial" w:cs="Arial"/>
          <w:lang w:val="en-GB"/>
        </w:rPr>
        <w:tab/>
      </w:r>
    </w:p>
    <w:p w:rsidR="00D52905" w:rsidRPr="005C42D7" w:rsidRDefault="0062446B" w:rsidP="005C42D7">
      <w:pPr>
        <w:spacing w:line="360" w:lineRule="auto"/>
        <w:rPr>
          <w:rFonts w:ascii="Arial" w:hAnsi="Arial" w:cs="Arial"/>
          <w:b/>
          <w:lang w:val="en-GB"/>
        </w:rPr>
      </w:pPr>
      <w:r w:rsidRPr="005C42D7">
        <w:rPr>
          <w:rFonts w:ascii="Arial" w:hAnsi="Arial" w:cs="Arial"/>
          <w:b/>
          <w:sz w:val="33"/>
          <w:szCs w:val="33"/>
          <w:lang w:val="en-GB"/>
        </w:rPr>
        <w:t>Application for approval of completed course activity</w:t>
      </w:r>
      <w:r w:rsidR="0076761B">
        <w:rPr>
          <w:rFonts w:ascii="Arial" w:hAnsi="Arial" w:cs="Arial"/>
          <w:b/>
          <w:lang w:val="en-GB"/>
        </w:rPr>
        <w:pict>
          <v:rect id="_x0000_i1025" style="width:0;height:1.5pt" o:hralign="center" o:hrstd="t" o:hr="t" fillcolor="#aca899" stroked="f"/>
        </w:pict>
      </w:r>
    </w:p>
    <w:p w:rsidR="0076761B" w:rsidRDefault="009A0ECC" w:rsidP="005C42D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 xml:space="preserve">Applications for approval of completed course activity must be submitted </w:t>
      </w:r>
      <w:r w:rsidR="00AC5C71" w:rsidRPr="005C42D7">
        <w:rPr>
          <w:rFonts w:ascii="Arial" w:hAnsi="Arial" w:cs="Arial"/>
          <w:i/>
          <w:sz w:val="18"/>
          <w:szCs w:val="18"/>
          <w:lang w:val="en-GB"/>
        </w:rPr>
        <w:t>along</w:t>
      </w:r>
      <w:r w:rsidRPr="005C42D7">
        <w:rPr>
          <w:rFonts w:ascii="Arial" w:hAnsi="Arial" w:cs="Arial"/>
          <w:i/>
          <w:sz w:val="18"/>
          <w:szCs w:val="18"/>
          <w:lang w:val="en-GB"/>
        </w:rPr>
        <w:t xml:space="preserve"> with the PhD Plan, the first year evaluation or the second year evaluation. Afterwards the application will be processed by the PhD Committee</w:t>
      </w:r>
      <w:r w:rsidR="007B6A2C" w:rsidRPr="005C42D7">
        <w:rPr>
          <w:rFonts w:ascii="Arial" w:hAnsi="Arial" w:cs="Arial"/>
          <w:i/>
          <w:sz w:val="18"/>
          <w:szCs w:val="18"/>
          <w:lang w:val="en-GB"/>
        </w:rPr>
        <w:t xml:space="preserve">. This form must be signed by the PhD student and the principal supervisor. </w:t>
      </w:r>
      <w:r w:rsidR="0076761B" w:rsidRPr="005C42D7">
        <w:rPr>
          <w:rFonts w:ascii="Arial" w:hAnsi="Arial" w:cs="Arial"/>
          <w:i/>
          <w:sz w:val="18"/>
          <w:szCs w:val="18"/>
          <w:lang w:val="en-GB"/>
        </w:rPr>
        <w:t>The PhD School recommend that the course activities have been completed within the first 24 months of the programme.</w:t>
      </w:r>
    </w:p>
    <w:p w:rsidR="00467B2D" w:rsidRPr="005C42D7" w:rsidRDefault="0076761B" w:rsidP="005C42D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6761B">
        <w:rPr>
          <w:rFonts w:ascii="Arial" w:hAnsi="Arial" w:cs="Arial"/>
          <w:b/>
          <w:i/>
          <w:sz w:val="18"/>
          <w:szCs w:val="18"/>
          <w:lang w:val="en-GB"/>
        </w:rPr>
        <w:t xml:space="preserve">NB! </w:t>
      </w:r>
      <w:r w:rsidR="007B6A2C" w:rsidRPr="0076761B">
        <w:rPr>
          <w:rFonts w:ascii="Arial" w:hAnsi="Arial" w:cs="Arial"/>
          <w:b/>
          <w:i/>
          <w:sz w:val="18"/>
          <w:szCs w:val="18"/>
          <w:lang w:val="en-GB"/>
        </w:rPr>
        <w:t xml:space="preserve">A course description or similar and documentation proving that the activity has been performed/passed must be enclosed. </w:t>
      </w:r>
      <w:r w:rsidR="00467B2D" w:rsidRPr="0076761B">
        <w:rPr>
          <w:rFonts w:ascii="Arial" w:hAnsi="Arial" w:cs="Arial"/>
          <w:b/>
          <w:i/>
          <w:sz w:val="18"/>
          <w:szCs w:val="18"/>
          <w:lang w:val="en-GB"/>
        </w:rPr>
        <w:t xml:space="preserve">For participation in conferences an extract </w:t>
      </w:r>
      <w:r w:rsidR="009A0ECC" w:rsidRPr="0076761B">
        <w:rPr>
          <w:rFonts w:ascii="Arial" w:hAnsi="Arial" w:cs="Arial"/>
          <w:b/>
          <w:i/>
          <w:sz w:val="18"/>
          <w:szCs w:val="18"/>
          <w:lang w:val="en-GB"/>
        </w:rPr>
        <w:t>of</w:t>
      </w:r>
      <w:r w:rsidR="00273E57" w:rsidRPr="0076761B">
        <w:rPr>
          <w:rFonts w:ascii="Arial" w:hAnsi="Arial" w:cs="Arial"/>
          <w:b/>
          <w:i/>
          <w:sz w:val="18"/>
          <w:szCs w:val="18"/>
          <w:lang w:val="en-GB"/>
        </w:rPr>
        <w:t xml:space="preserve"> the programme must be enclosed and documentation for presentation of a paper (normally 2 to 4 pages). The paper should not be enclosed this application</w:t>
      </w:r>
      <w:r>
        <w:rPr>
          <w:rFonts w:ascii="Arial" w:hAnsi="Arial" w:cs="Arial"/>
          <w:i/>
          <w:sz w:val="18"/>
          <w:szCs w:val="18"/>
          <w:lang w:val="en-GB"/>
        </w:rPr>
        <w:t>.</w:t>
      </w:r>
      <w:r w:rsidR="009A0ECC" w:rsidRPr="005C42D7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:rsidR="0061731B" w:rsidRPr="005C42D7" w:rsidRDefault="0061731B" w:rsidP="005C42D7">
      <w:pPr>
        <w:spacing w:after="0"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>When issuing an approval, the PhD Committee makes a recommendation as to how many ECTS points each activity will involve, based on the following principles:</w:t>
      </w:r>
    </w:p>
    <w:p w:rsidR="0061731B" w:rsidRPr="005C42D7" w:rsidRDefault="0061731B" w:rsidP="005C42D7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>For courses offered by researcher training programmes in which the Faculty takes part, the ECTS value fixed by the researcher training programme is used.</w:t>
      </w:r>
    </w:p>
    <w:p w:rsidR="0061731B" w:rsidRPr="005C42D7" w:rsidRDefault="0061731B" w:rsidP="005C42D7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>One (1) ECTS point corresponds to approximately 25-30 hours of work.</w:t>
      </w:r>
    </w:p>
    <w:p w:rsidR="0061731B" w:rsidRPr="005C42D7" w:rsidRDefault="0061731B" w:rsidP="005C42D7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>Conferences where the PhD student presents a paper normally correspond to 2 ECTS points.</w:t>
      </w:r>
    </w:p>
    <w:p w:rsidR="0061731B" w:rsidRPr="005C42D7" w:rsidRDefault="0061731B" w:rsidP="005C42D7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5C42D7">
        <w:rPr>
          <w:rFonts w:ascii="Arial" w:hAnsi="Arial" w:cs="Arial"/>
          <w:i/>
          <w:sz w:val="18"/>
          <w:szCs w:val="18"/>
          <w:lang w:val="en-GB"/>
        </w:rPr>
        <w:t>Courses at postgraduate level that are relevant for the project are assessed at half the ECTS points that apply for graduate students.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61731B" w:rsidRPr="005C42D7" w:rsidTr="0061731B">
        <w:trPr>
          <w:cantSplit/>
        </w:trPr>
        <w:tc>
          <w:tcPr>
            <w:tcW w:w="2506" w:type="pct"/>
            <w:shd w:val="clear" w:color="auto" w:fill="auto"/>
          </w:tcPr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1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494" w:type="pct"/>
            <w:shd w:val="clear" w:color="auto" w:fill="auto"/>
          </w:tcPr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Type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Choose type"/>
                    <w:listEntry w:val="Conference"/>
                    <w:listEntry w:val="Master's Degree Course"/>
                    <w:listEntry w:val="PhD Course"/>
                    <w:listEntry w:val="Seminar"/>
                    <w:listEntry w:val="Workshop"/>
                  </w:ddList>
                </w:ffData>
              </w:fldCha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1731B" w:rsidRPr="005C42D7" w:rsidTr="0061731B">
        <w:trPr>
          <w:cantSplit/>
        </w:trPr>
        <w:tc>
          <w:tcPr>
            <w:tcW w:w="2506" w:type="pct"/>
            <w:shd w:val="clear" w:color="auto" w:fill="auto"/>
          </w:tcPr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institution offering the course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494" w:type="pct"/>
            <w:shd w:val="clear" w:color="auto" w:fill="auto"/>
          </w:tcPr>
          <w:p w:rsidR="0061731B" w:rsidRPr="005C42D7" w:rsidRDefault="0061731B" w:rsidP="0061731B">
            <w:pPr>
              <w:tabs>
                <w:tab w:val="center" w:pos="74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 training programme</w:t>
            </w:r>
          </w:p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(Which?)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1731B" w:rsidRPr="005C42D7" w:rsidTr="0061731B">
        <w:trPr>
          <w:cantSplit/>
        </w:trPr>
        <w:tc>
          <w:tcPr>
            <w:tcW w:w="2506" w:type="pct"/>
            <w:shd w:val="clear" w:color="auto" w:fill="auto"/>
          </w:tcPr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Proposed ECTS points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494" w:type="pct"/>
            <w:shd w:val="clear" w:color="auto" w:fill="auto"/>
          </w:tcPr>
          <w:p w:rsidR="0061731B" w:rsidRPr="005C42D7" w:rsidRDefault="0061731B" w:rsidP="003A1B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Comments: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 xml:space="preserve"> </w: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A1BF5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F95FC5" w:rsidRPr="005C42D7" w:rsidRDefault="00F95FC5" w:rsidP="00F95FC5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Type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Choose type"/>
                    <w:listEntry w:val="Conference"/>
                    <w:listEntry w:val="Master's Degree Course"/>
                    <w:listEntry w:val="PhD Course"/>
                    <w:listEntry w:val="Seminar"/>
                    <w:listEntry w:val="Workshop"/>
                  </w:ddList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institution offering the course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tabs>
                <w:tab w:val="center" w:pos="74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 training programme</w:t>
            </w:r>
          </w:p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(Which?)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Proposed ECTS points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Comments: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 xml:space="preserve">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A0ECC" w:rsidRPr="005C42D7" w:rsidRDefault="009A0ECC" w:rsidP="00F95FC5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Type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Choose type"/>
                    <w:listEntry w:val="Conference"/>
                    <w:listEntry w:val="Master's Degree Course"/>
                    <w:listEntry w:val="PhD Course"/>
                    <w:listEntry w:val="Seminar"/>
                    <w:listEntry w:val="Workshop"/>
                  </w:ddList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</w:r>
            <w:r w:rsidR="007676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2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institution offering the course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tabs>
                <w:tab w:val="center" w:pos="74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 training programme</w:t>
            </w:r>
          </w:p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(Which?)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BF5" w:rsidRPr="005C42D7" w:rsidTr="00760DAD">
        <w:trPr>
          <w:cantSplit/>
        </w:trPr>
        <w:tc>
          <w:tcPr>
            <w:tcW w:w="2506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Proposed ECTS points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A1BF5" w:rsidRPr="005C42D7" w:rsidRDefault="003A1BF5" w:rsidP="00C076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Comments: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 xml:space="preserve"> 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A0ECC" w:rsidRPr="005C42D7" w:rsidRDefault="009A0ECC" w:rsidP="00F95FC5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98"/>
        <w:gridCol w:w="2305"/>
        <w:gridCol w:w="2457"/>
        <w:gridCol w:w="3722"/>
      </w:tblGrid>
      <w:tr w:rsidR="00F95FC5" w:rsidRPr="005C42D7" w:rsidTr="00365528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F95FC5" w:rsidRPr="005C42D7" w:rsidRDefault="001737DE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Signatures</w:t>
            </w:r>
          </w:p>
        </w:tc>
      </w:tr>
      <w:tr w:rsidR="00F95FC5" w:rsidRPr="005C42D7" w:rsidTr="0061731B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9" w:type="pct"/>
            <w:shd w:val="clear" w:color="auto" w:fill="F2F2F2" w:themeFill="background1" w:themeFillShade="F2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1737DE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r w:rsidR="001737DE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:rsidR="00F95FC5" w:rsidRPr="005C42D7" w:rsidRDefault="001737DE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F95FC5" w:rsidRPr="005C42D7" w:rsidTr="0061731B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5C42D7" w:rsidRDefault="001737DE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supervisor</w:t>
            </w:r>
          </w:p>
        </w:tc>
        <w:tc>
          <w:tcPr>
            <w:tcW w:w="1079" w:type="pct"/>
          </w:tcPr>
          <w:p w:rsidR="00F95FC5" w:rsidRPr="005C42D7" w:rsidRDefault="003A1BF5" w:rsidP="001218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50" w:type="pct"/>
          </w:tcPr>
          <w:p w:rsidR="00121819" w:rsidRPr="005C42D7" w:rsidRDefault="003A1BF5" w:rsidP="001218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42" w:type="pct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5FC5" w:rsidRPr="005C42D7" w:rsidTr="0061731B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Ph</w:t>
            </w:r>
            <w:r w:rsidR="001737DE"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t>D student</w:t>
            </w:r>
          </w:p>
        </w:tc>
        <w:tc>
          <w:tcPr>
            <w:tcW w:w="1079" w:type="pct"/>
          </w:tcPr>
          <w:p w:rsidR="00F95FC5" w:rsidRPr="005C42D7" w:rsidRDefault="003A1BF5" w:rsidP="001218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50" w:type="pct"/>
          </w:tcPr>
          <w:p w:rsidR="00121819" w:rsidRPr="005C42D7" w:rsidRDefault="003A1BF5" w:rsidP="001218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C42D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42" w:type="pct"/>
          </w:tcPr>
          <w:p w:rsidR="00F95FC5" w:rsidRPr="005C42D7" w:rsidRDefault="00F95FC5" w:rsidP="00C009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52905" w:rsidRPr="005C42D7" w:rsidRDefault="00D52905" w:rsidP="00D52905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5C42D7">
        <w:rPr>
          <w:rFonts w:ascii="Arial" w:hAnsi="Arial" w:cs="Arial"/>
          <w:b/>
          <w:i/>
          <w:sz w:val="20"/>
          <w:szCs w:val="20"/>
          <w:lang w:val="en-GB"/>
        </w:rPr>
        <w:br/>
      </w:r>
      <w:r w:rsidR="0061731B" w:rsidRPr="0076761B">
        <w:rPr>
          <w:rFonts w:ascii="Arial" w:hAnsi="Arial" w:cs="Arial"/>
          <w:i/>
          <w:sz w:val="20"/>
          <w:lang w:val="en-US"/>
        </w:rPr>
        <w:t>The completed form must be sent to the PhD School of</w:t>
      </w:r>
      <w:r w:rsidR="0061731B" w:rsidRPr="0076761B">
        <w:rPr>
          <w:rFonts w:ascii="Arial" w:hAnsi="Arial" w:cs="Arial"/>
          <w:i/>
          <w:sz w:val="20"/>
          <w:lang w:val="en-US"/>
        </w:rPr>
        <w:br/>
        <w:t xml:space="preserve">The Faculty of Business and Social Sciences on </w:t>
      </w:r>
      <w:hyperlink r:id="rId7" w:history="1">
        <w:r w:rsidR="0061731B" w:rsidRPr="0076761B">
          <w:rPr>
            <w:rStyle w:val="Hyperlink"/>
            <w:rFonts w:ascii="Arial" w:hAnsi="Arial" w:cs="Arial"/>
            <w:i/>
            <w:sz w:val="20"/>
            <w:lang w:val="en-US"/>
          </w:rPr>
          <w:t>phdsek@sam.sdu.dk</w:t>
        </w:r>
      </w:hyperlink>
    </w:p>
    <w:sectPr w:rsidR="00D52905" w:rsidRPr="005C42D7" w:rsidSect="00D52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Vcvc/Xrt1NLw177OUi8eyYmJqS2UfJtp3zo3uoQ2hxI8e364wmnT4KiDFOpxPoYImD4NXomVRp+Z5F0rXUqg==" w:salt="PzY+u8SdlW5ADabC1V5PBQ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3"/>
    <w:rsid w:val="00113CC5"/>
    <w:rsid w:val="00121819"/>
    <w:rsid w:val="00172319"/>
    <w:rsid w:val="001737DE"/>
    <w:rsid w:val="00273E57"/>
    <w:rsid w:val="002D1B56"/>
    <w:rsid w:val="00365528"/>
    <w:rsid w:val="003A1BF5"/>
    <w:rsid w:val="00440525"/>
    <w:rsid w:val="00467B2D"/>
    <w:rsid w:val="00490BBF"/>
    <w:rsid w:val="005C42D7"/>
    <w:rsid w:val="0061731B"/>
    <w:rsid w:val="0062446B"/>
    <w:rsid w:val="0069397B"/>
    <w:rsid w:val="00763DBF"/>
    <w:rsid w:val="0076761B"/>
    <w:rsid w:val="007B6A2C"/>
    <w:rsid w:val="007D4AE9"/>
    <w:rsid w:val="007E2396"/>
    <w:rsid w:val="00902930"/>
    <w:rsid w:val="009A0ECC"/>
    <w:rsid w:val="00AC5C71"/>
    <w:rsid w:val="00AD3209"/>
    <w:rsid w:val="00AE7769"/>
    <w:rsid w:val="00B27533"/>
    <w:rsid w:val="00B5190D"/>
    <w:rsid w:val="00BA035B"/>
    <w:rsid w:val="00C17658"/>
    <w:rsid w:val="00CA57E5"/>
    <w:rsid w:val="00D12270"/>
    <w:rsid w:val="00D52905"/>
    <w:rsid w:val="00E21C40"/>
    <w:rsid w:val="00F63044"/>
    <w:rsid w:val="00F95FC5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CEA7C"/>
  <w15:docId w15:val="{CB2FC37C-5F5F-479A-9EF6-E4F156F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63DB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D5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sek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B02E-21F6-4F85-A7C4-D035E98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8</cp:revision>
  <dcterms:created xsi:type="dcterms:W3CDTF">2016-01-04T13:53:00Z</dcterms:created>
  <dcterms:modified xsi:type="dcterms:W3CDTF">2017-04-06T07:22:00Z</dcterms:modified>
</cp:coreProperties>
</file>