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20A0" w14:textId="6BDE80D3" w:rsidR="00620D79" w:rsidRPr="0008151F" w:rsidRDefault="00620D79" w:rsidP="00880A65">
      <w:pPr>
        <w:spacing w:line="360" w:lineRule="auto"/>
        <w:jc w:val="both"/>
        <w:rPr>
          <w:rFonts w:ascii="Georgia" w:hAnsi="Georgia"/>
          <w:b/>
        </w:rPr>
      </w:pPr>
      <w:bookmarkStart w:id="0" w:name="_GoBack"/>
      <w:bookmarkEnd w:id="0"/>
      <w:r w:rsidRPr="0008151F">
        <w:rPr>
          <w:rFonts w:ascii="Georgia" w:hAnsi="Georgia"/>
          <w:b/>
        </w:rPr>
        <w:t>The patient as text – revisited. Call for paper</w:t>
      </w:r>
      <w:r w:rsidR="00B23889" w:rsidRPr="0008151F">
        <w:rPr>
          <w:rFonts w:ascii="Georgia" w:hAnsi="Georgia"/>
          <w:b/>
        </w:rPr>
        <w:t>s</w:t>
      </w:r>
      <w:r w:rsidRPr="0008151F">
        <w:rPr>
          <w:rFonts w:ascii="Georgia" w:hAnsi="Georgia"/>
          <w:b/>
        </w:rPr>
        <w:t>.</w:t>
      </w:r>
    </w:p>
    <w:p w14:paraId="1B9A162C" w14:textId="77777777" w:rsidR="00620D79" w:rsidRPr="00664609" w:rsidRDefault="00620D79" w:rsidP="00880A65">
      <w:pPr>
        <w:spacing w:line="360" w:lineRule="auto"/>
        <w:jc w:val="both"/>
        <w:rPr>
          <w:rFonts w:ascii="Georgia" w:hAnsi="Georgia"/>
        </w:rPr>
      </w:pPr>
    </w:p>
    <w:p w14:paraId="61F44429" w14:textId="0DA68201" w:rsidR="00471251" w:rsidRPr="00664609" w:rsidRDefault="00C63FA8" w:rsidP="00556BDD">
      <w:p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>I</w:t>
      </w:r>
      <w:r w:rsidR="00A81D4F" w:rsidRPr="00664609">
        <w:rPr>
          <w:rFonts w:ascii="Georgia" w:hAnsi="Georgia"/>
        </w:rPr>
        <w:t xml:space="preserve">t </w:t>
      </w:r>
      <w:r w:rsidR="0066465D" w:rsidRPr="00664609">
        <w:rPr>
          <w:rFonts w:ascii="Georgia" w:hAnsi="Georgia"/>
        </w:rPr>
        <w:t>has been</w:t>
      </w:r>
      <w:r w:rsidR="00A81D4F" w:rsidRPr="00664609">
        <w:rPr>
          <w:rFonts w:ascii="Georgia" w:hAnsi="Georgia"/>
        </w:rPr>
        <w:t xml:space="preserve"> </w:t>
      </w:r>
      <w:r w:rsidR="00DE597B" w:rsidRPr="00664609">
        <w:rPr>
          <w:rFonts w:ascii="Georgia" w:hAnsi="Georgia"/>
        </w:rPr>
        <w:t>20 years si</w:t>
      </w:r>
      <w:r w:rsidRPr="00664609">
        <w:rPr>
          <w:rFonts w:ascii="Georgia" w:hAnsi="Georgia"/>
        </w:rPr>
        <w:t>n</w:t>
      </w:r>
      <w:r w:rsidR="00DE597B" w:rsidRPr="00664609">
        <w:rPr>
          <w:rFonts w:ascii="Georgia" w:hAnsi="Georgia"/>
        </w:rPr>
        <w:t>ce</w:t>
      </w:r>
      <w:r w:rsidRPr="00664609">
        <w:rPr>
          <w:rFonts w:ascii="Georgia" w:hAnsi="Georgia"/>
        </w:rPr>
        <w:t xml:space="preserve"> </w:t>
      </w:r>
      <w:r w:rsidR="00B23FE7" w:rsidRPr="00664609">
        <w:rPr>
          <w:rFonts w:ascii="Georgia" w:hAnsi="Georgia"/>
        </w:rPr>
        <w:t>the Norwegian literary scholar</w:t>
      </w:r>
      <w:r w:rsidR="00AD105E" w:rsidRPr="00664609">
        <w:rPr>
          <w:rFonts w:ascii="Georgia" w:hAnsi="Georgia"/>
        </w:rPr>
        <w:t xml:space="preserve"> </w:t>
      </w:r>
      <w:r w:rsidRPr="00664609">
        <w:rPr>
          <w:rFonts w:ascii="Georgia" w:hAnsi="Georgia"/>
        </w:rPr>
        <w:t>Pe</w:t>
      </w:r>
      <w:r w:rsidR="00BF6839" w:rsidRPr="00664609">
        <w:rPr>
          <w:rFonts w:ascii="Georgia" w:hAnsi="Georgia"/>
        </w:rPr>
        <w:t xml:space="preserve">tter Aaslestad published </w:t>
      </w:r>
      <w:r w:rsidR="00BF6839" w:rsidRPr="00664609">
        <w:rPr>
          <w:rStyle w:val="a-size-extra-large3"/>
          <w:rFonts w:ascii="Georgia" w:hAnsi="Georgia"/>
          <w:i/>
        </w:rPr>
        <w:t>The Patient as Text</w:t>
      </w:r>
      <w:r w:rsidR="00D36190" w:rsidRPr="00664609">
        <w:rPr>
          <w:rStyle w:val="a-size-extra-large3"/>
          <w:rFonts w:ascii="Georgia" w:hAnsi="Georgia"/>
          <w:i/>
        </w:rPr>
        <w:t>. T</w:t>
      </w:r>
      <w:r w:rsidR="00BF6839" w:rsidRPr="00664609">
        <w:rPr>
          <w:rStyle w:val="a-size-extra-large3"/>
          <w:rFonts w:ascii="Georgia" w:hAnsi="Georgia"/>
          <w:i/>
        </w:rPr>
        <w:t xml:space="preserve">he Role of the Narrator in Psychiatric Notes, 1890-1990 </w:t>
      </w:r>
      <w:r w:rsidR="00AC1D52" w:rsidRPr="00664609">
        <w:rPr>
          <w:rStyle w:val="a-size-extra-large3"/>
          <w:rFonts w:ascii="Georgia" w:hAnsi="Georgia"/>
        </w:rPr>
        <w:t>(</w:t>
      </w:r>
      <w:r w:rsidR="00BF6839" w:rsidRPr="00664609">
        <w:rPr>
          <w:rStyle w:val="a-size-extra-large3"/>
          <w:rFonts w:ascii="Georgia" w:hAnsi="Georgia"/>
        </w:rPr>
        <w:t>1997</w:t>
      </w:r>
      <w:r w:rsidR="00AC1D52" w:rsidRPr="00664609">
        <w:rPr>
          <w:rStyle w:val="a-size-extra-large3"/>
          <w:rFonts w:ascii="Georgia" w:hAnsi="Georgia"/>
        </w:rPr>
        <w:t>)</w:t>
      </w:r>
      <w:r w:rsidR="00BF6839" w:rsidRPr="00664609">
        <w:rPr>
          <w:rStyle w:val="a-size-extra-large3"/>
          <w:rFonts w:ascii="Georgia" w:hAnsi="Georgia"/>
        </w:rPr>
        <w:t xml:space="preserve">. </w:t>
      </w:r>
      <w:r w:rsidR="006431F0" w:rsidRPr="00664609">
        <w:rPr>
          <w:rStyle w:val="a-size-extra-large3"/>
          <w:rFonts w:ascii="Georgia" w:hAnsi="Georgia"/>
        </w:rPr>
        <w:t xml:space="preserve">In this </w:t>
      </w:r>
      <w:r w:rsidR="0008151F" w:rsidRPr="00664609">
        <w:rPr>
          <w:rStyle w:val="a-size-extra-large3"/>
          <w:rFonts w:ascii="Georgia" w:hAnsi="Georgia"/>
        </w:rPr>
        <w:t>book,</w:t>
      </w:r>
      <w:r w:rsidR="006431F0" w:rsidRPr="00664609">
        <w:rPr>
          <w:rStyle w:val="a-size-extra-large3"/>
          <w:rFonts w:ascii="Georgia" w:hAnsi="Georgia"/>
        </w:rPr>
        <w:t xml:space="preserve"> </w:t>
      </w:r>
      <w:r w:rsidR="00BF6839" w:rsidRPr="00664609">
        <w:rPr>
          <w:rFonts w:ascii="Georgia" w:hAnsi="Georgia"/>
        </w:rPr>
        <w:t xml:space="preserve">Aaslestad explores </w:t>
      </w:r>
      <w:r w:rsidR="00B23FE7" w:rsidRPr="00664609">
        <w:rPr>
          <w:rFonts w:ascii="Georgia" w:hAnsi="Georgia"/>
        </w:rPr>
        <w:t xml:space="preserve">around 150 patient files from a Norwegian psychiatric hospital, written between 1890 and 1990. By using narratological </w:t>
      </w:r>
      <w:r w:rsidR="0008151F" w:rsidRPr="00664609">
        <w:rPr>
          <w:rFonts w:ascii="Georgia" w:hAnsi="Georgia"/>
        </w:rPr>
        <w:t>categories,</w:t>
      </w:r>
      <w:r w:rsidR="00B23FE7" w:rsidRPr="00664609">
        <w:rPr>
          <w:rFonts w:ascii="Georgia" w:hAnsi="Georgia"/>
        </w:rPr>
        <w:t xml:space="preserve"> he analyses who is speaking in these reports, which perspectives are reproduced in them, and in what ways</w:t>
      </w:r>
      <w:r w:rsidR="00A46DC7" w:rsidRPr="00664609">
        <w:rPr>
          <w:rFonts w:ascii="Georgia" w:hAnsi="Georgia"/>
        </w:rPr>
        <w:t xml:space="preserve"> those perspectives</w:t>
      </w:r>
      <w:r w:rsidR="0066465D" w:rsidRPr="00664609">
        <w:rPr>
          <w:rFonts w:ascii="Georgia" w:hAnsi="Georgia"/>
        </w:rPr>
        <w:t xml:space="preserve"> are reproduced</w:t>
      </w:r>
      <w:r w:rsidR="00B23FE7" w:rsidRPr="00664609">
        <w:rPr>
          <w:rFonts w:ascii="Georgia" w:hAnsi="Georgia"/>
        </w:rPr>
        <w:t>. In this way, he</w:t>
      </w:r>
      <w:r w:rsidR="00816EB4" w:rsidRPr="00664609">
        <w:rPr>
          <w:rFonts w:ascii="Georgia" w:hAnsi="Georgia"/>
        </w:rPr>
        <w:t xml:space="preserve"> unravel</w:t>
      </w:r>
      <w:r w:rsidR="00B23FE7" w:rsidRPr="00664609">
        <w:rPr>
          <w:rFonts w:ascii="Georgia" w:hAnsi="Georgia"/>
        </w:rPr>
        <w:t>s</w:t>
      </w:r>
      <w:r w:rsidR="00816EB4" w:rsidRPr="00664609">
        <w:rPr>
          <w:rFonts w:ascii="Georgia" w:hAnsi="Georgia"/>
        </w:rPr>
        <w:t xml:space="preserve"> how patients suffering from schizophrenia </w:t>
      </w:r>
      <w:r w:rsidR="00166EDC" w:rsidRPr="00664609">
        <w:rPr>
          <w:rFonts w:ascii="Georgia" w:hAnsi="Georgia"/>
        </w:rPr>
        <w:t>are narratively present or ab</w:t>
      </w:r>
      <w:r w:rsidR="00CB2235" w:rsidRPr="00664609">
        <w:rPr>
          <w:rFonts w:ascii="Georgia" w:hAnsi="Georgia"/>
        </w:rPr>
        <w:t>s</w:t>
      </w:r>
      <w:r w:rsidR="00E70992" w:rsidRPr="00664609">
        <w:rPr>
          <w:rFonts w:ascii="Georgia" w:hAnsi="Georgia"/>
        </w:rPr>
        <w:t>ent in their own medical files and how the psychiatric professionals</w:t>
      </w:r>
      <w:r w:rsidR="001A3A6C" w:rsidRPr="00664609">
        <w:rPr>
          <w:rFonts w:ascii="Georgia" w:hAnsi="Georgia"/>
        </w:rPr>
        <w:t>—</w:t>
      </w:r>
      <w:r w:rsidR="00E70992" w:rsidRPr="00664609">
        <w:rPr>
          <w:rFonts w:ascii="Georgia" w:hAnsi="Georgia"/>
        </w:rPr>
        <w:t>as constructors of these narratives</w:t>
      </w:r>
      <w:r w:rsidR="001A3A6C" w:rsidRPr="00664609">
        <w:rPr>
          <w:rFonts w:ascii="Georgia" w:hAnsi="Georgia"/>
        </w:rPr>
        <w:t>—</w:t>
      </w:r>
      <w:r w:rsidR="008015EC" w:rsidRPr="00664609">
        <w:rPr>
          <w:rFonts w:ascii="Georgia" w:hAnsi="Georgia"/>
        </w:rPr>
        <w:t xml:space="preserve">are surrounded and affected by ideological and medical changes. </w:t>
      </w:r>
      <w:r w:rsidR="00AA53C6" w:rsidRPr="00664609">
        <w:rPr>
          <w:rFonts w:ascii="Georgia" w:hAnsi="Georgia"/>
        </w:rPr>
        <w:t>The book wa</w:t>
      </w:r>
      <w:r w:rsidR="00FE2B89" w:rsidRPr="00664609">
        <w:rPr>
          <w:rFonts w:ascii="Georgia" w:hAnsi="Georgia"/>
        </w:rPr>
        <w:t xml:space="preserve">s a pioneering work, </w:t>
      </w:r>
      <w:r w:rsidR="00DA11B8" w:rsidRPr="00664609">
        <w:rPr>
          <w:rFonts w:ascii="Georgia" w:hAnsi="Georgia"/>
        </w:rPr>
        <w:t xml:space="preserve">using a narrative model </w:t>
      </w:r>
      <w:r w:rsidR="00AA53C6" w:rsidRPr="00664609">
        <w:rPr>
          <w:rFonts w:ascii="Georgia" w:hAnsi="Georgia"/>
        </w:rPr>
        <w:t xml:space="preserve">as a methodological tool on </w:t>
      </w:r>
      <w:r w:rsidR="008234B1" w:rsidRPr="00664609">
        <w:rPr>
          <w:rFonts w:ascii="Georgia" w:hAnsi="Georgia"/>
        </w:rPr>
        <w:t xml:space="preserve">a </w:t>
      </w:r>
      <w:r w:rsidR="00AA53C6" w:rsidRPr="00664609">
        <w:rPr>
          <w:rFonts w:ascii="Georgia" w:hAnsi="Georgia"/>
        </w:rPr>
        <w:t xml:space="preserve">hitherto </w:t>
      </w:r>
      <w:r w:rsidR="00FE2B89" w:rsidRPr="00664609">
        <w:rPr>
          <w:rFonts w:ascii="Georgia" w:hAnsi="Georgia"/>
        </w:rPr>
        <w:t>unorthodox material</w:t>
      </w:r>
      <w:r w:rsidR="0086514A" w:rsidRPr="00664609">
        <w:rPr>
          <w:rFonts w:ascii="Georgia" w:hAnsi="Georgia"/>
        </w:rPr>
        <w:t xml:space="preserve"> within comparative literature</w:t>
      </w:r>
      <w:r w:rsidR="00FE2B89" w:rsidRPr="00664609">
        <w:rPr>
          <w:rFonts w:ascii="Georgia" w:hAnsi="Georgia"/>
        </w:rPr>
        <w:t xml:space="preserve">. </w:t>
      </w:r>
      <w:r w:rsidR="00E61B5B" w:rsidRPr="00664609">
        <w:rPr>
          <w:rFonts w:ascii="Georgia" w:hAnsi="Georgia"/>
        </w:rPr>
        <w:t>Aaslestad’s oeuvre is an example of how utility and disciplinary skills may be combined and lead to interdisciplinary gains in all respects.</w:t>
      </w:r>
    </w:p>
    <w:p w14:paraId="67E940C0" w14:textId="77777777" w:rsidR="0086514A" w:rsidRPr="00664609" w:rsidRDefault="0086514A" w:rsidP="00556BDD">
      <w:pPr>
        <w:spacing w:line="360" w:lineRule="auto"/>
        <w:jc w:val="both"/>
        <w:rPr>
          <w:rFonts w:ascii="Georgia" w:hAnsi="Georgia"/>
        </w:rPr>
      </w:pPr>
    </w:p>
    <w:p w14:paraId="7D917E38" w14:textId="680AAE4A" w:rsidR="0086514A" w:rsidRPr="00664609" w:rsidRDefault="007376DB" w:rsidP="00880A65">
      <w:p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 xml:space="preserve">The </w:t>
      </w:r>
      <w:r w:rsidR="006D1064" w:rsidRPr="00664609">
        <w:rPr>
          <w:rFonts w:ascii="Georgia" w:hAnsi="Georgia"/>
        </w:rPr>
        <w:t xml:space="preserve">interest in patients’ stories, their perspectives and experiences </w:t>
      </w:r>
      <w:r w:rsidR="007E6880" w:rsidRPr="00664609">
        <w:rPr>
          <w:rFonts w:ascii="Georgia" w:hAnsi="Georgia"/>
        </w:rPr>
        <w:t xml:space="preserve">has </w:t>
      </w:r>
      <w:r w:rsidRPr="00664609">
        <w:rPr>
          <w:rFonts w:ascii="Georgia" w:hAnsi="Georgia"/>
        </w:rPr>
        <w:t xml:space="preserve">also </w:t>
      </w:r>
      <w:r w:rsidR="007E6880" w:rsidRPr="00664609">
        <w:rPr>
          <w:rFonts w:ascii="Georgia" w:hAnsi="Georgia"/>
        </w:rPr>
        <w:t xml:space="preserve">come </w:t>
      </w:r>
      <w:r w:rsidR="00EC1552" w:rsidRPr="00664609">
        <w:rPr>
          <w:rFonts w:ascii="Georgia" w:hAnsi="Georgia"/>
        </w:rPr>
        <w:t xml:space="preserve">to the fore of </w:t>
      </w:r>
      <w:r w:rsidR="00884102" w:rsidRPr="00664609">
        <w:rPr>
          <w:rFonts w:ascii="Georgia" w:hAnsi="Georgia"/>
        </w:rPr>
        <w:t>other</w:t>
      </w:r>
      <w:r w:rsidR="00EC1552" w:rsidRPr="00664609">
        <w:rPr>
          <w:rFonts w:ascii="Georgia" w:hAnsi="Georgia"/>
        </w:rPr>
        <w:t xml:space="preserve"> academic disciplines</w:t>
      </w:r>
      <w:r w:rsidR="002A3EA4" w:rsidRPr="00664609">
        <w:rPr>
          <w:rFonts w:ascii="Georgia" w:hAnsi="Georgia"/>
        </w:rPr>
        <w:t xml:space="preserve"> </w:t>
      </w:r>
      <w:r w:rsidR="00695291" w:rsidRPr="00664609">
        <w:rPr>
          <w:rFonts w:ascii="Georgia" w:hAnsi="Georgia"/>
        </w:rPr>
        <w:t>(Daniel 1986)</w:t>
      </w:r>
      <w:r w:rsidR="00EC1552" w:rsidRPr="00664609">
        <w:rPr>
          <w:rFonts w:ascii="Georgia" w:hAnsi="Georgia"/>
        </w:rPr>
        <w:t xml:space="preserve">. </w:t>
      </w:r>
      <w:r w:rsidR="002B145F" w:rsidRPr="00664609">
        <w:rPr>
          <w:rFonts w:ascii="Georgia" w:hAnsi="Georgia"/>
        </w:rPr>
        <w:t>S</w:t>
      </w:r>
      <w:r w:rsidR="00B23889" w:rsidRPr="00664609">
        <w:rPr>
          <w:rFonts w:ascii="Georgia" w:hAnsi="Georgia"/>
        </w:rPr>
        <w:t xml:space="preserve">uch interest has </w:t>
      </w:r>
      <w:r w:rsidR="002B145F" w:rsidRPr="00664609">
        <w:rPr>
          <w:rFonts w:ascii="Georgia" w:hAnsi="Georgia"/>
        </w:rPr>
        <w:t xml:space="preserve">been mostly evident </w:t>
      </w:r>
      <w:r w:rsidR="00B23889" w:rsidRPr="00664609">
        <w:rPr>
          <w:rFonts w:ascii="Georgia" w:hAnsi="Georgia"/>
        </w:rPr>
        <w:t>in sociology, the history of science</w:t>
      </w:r>
      <w:r w:rsidR="002B145F" w:rsidRPr="00664609">
        <w:rPr>
          <w:rFonts w:ascii="Georgia" w:hAnsi="Georgia"/>
        </w:rPr>
        <w:t xml:space="preserve"> and medicine</w:t>
      </w:r>
      <w:r w:rsidR="00B0600C" w:rsidRPr="00664609">
        <w:rPr>
          <w:rFonts w:ascii="Georgia" w:hAnsi="Georgia"/>
        </w:rPr>
        <w:t>, and cul</w:t>
      </w:r>
      <w:r w:rsidR="006A130A" w:rsidRPr="00664609">
        <w:rPr>
          <w:rFonts w:ascii="Georgia" w:hAnsi="Georgia"/>
        </w:rPr>
        <w:t xml:space="preserve">tural history. A pivotal role in this context </w:t>
      </w:r>
      <w:r w:rsidR="00F52D0C" w:rsidRPr="00664609">
        <w:rPr>
          <w:rFonts w:ascii="Georgia" w:hAnsi="Georgia"/>
        </w:rPr>
        <w:t xml:space="preserve">was </w:t>
      </w:r>
      <w:r w:rsidR="006A130A" w:rsidRPr="00664609">
        <w:rPr>
          <w:rFonts w:ascii="Georgia" w:hAnsi="Georgia"/>
        </w:rPr>
        <w:t xml:space="preserve">Roy Porter’s article on “The Patient’s View. Doing Medical History from Below” where he argues for taking account </w:t>
      </w:r>
      <w:r w:rsidR="007E6880" w:rsidRPr="00664609">
        <w:rPr>
          <w:rFonts w:ascii="Georgia" w:hAnsi="Georgia"/>
        </w:rPr>
        <w:t xml:space="preserve">of </w:t>
      </w:r>
      <w:r w:rsidR="002F36B4" w:rsidRPr="00664609">
        <w:rPr>
          <w:rFonts w:ascii="Georgia" w:hAnsi="Georgia"/>
        </w:rPr>
        <w:t xml:space="preserve">patients’ </w:t>
      </w:r>
      <w:r w:rsidR="006A130A" w:rsidRPr="00664609">
        <w:rPr>
          <w:rFonts w:ascii="Georgia" w:hAnsi="Georgia"/>
        </w:rPr>
        <w:t xml:space="preserve">historically and culturally changing </w:t>
      </w:r>
      <w:r w:rsidR="002F36B4" w:rsidRPr="00664609">
        <w:rPr>
          <w:rFonts w:ascii="Georgia" w:hAnsi="Georgia"/>
        </w:rPr>
        <w:t>vi</w:t>
      </w:r>
      <w:r w:rsidR="0096273A">
        <w:rPr>
          <w:rFonts w:ascii="Georgia" w:hAnsi="Georgia"/>
        </w:rPr>
        <w:t xml:space="preserve">ews on health and illness </w:t>
      </w:r>
      <w:r w:rsidR="002F36B4" w:rsidRPr="00664609">
        <w:rPr>
          <w:rFonts w:ascii="Georgia" w:hAnsi="Georgia"/>
        </w:rPr>
        <w:t>to</w:t>
      </w:r>
      <w:r w:rsidR="00682B69" w:rsidRPr="00664609">
        <w:rPr>
          <w:rFonts w:ascii="Georgia" w:hAnsi="Georgia"/>
        </w:rPr>
        <w:t xml:space="preserve"> </w:t>
      </w:r>
      <w:r w:rsidR="002F36B4" w:rsidRPr="00664609">
        <w:rPr>
          <w:rFonts w:ascii="Georgia" w:hAnsi="Georgia"/>
        </w:rPr>
        <w:t xml:space="preserve">better understand medical development </w:t>
      </w:r>
      <w:r w:rsidR="00B23889" w:rsidRPr="00664609">
        <w:rPr>
          <w:rFonts w:ascii="Georgia" w:hAnsi="Georgia"/>
        </w:rPr>
        <w:t>(Porter 1985</w:t>
      </w:r>
      <w:r w:rsidR="004842C8" w:rsidRPr="00664609">
        <w:rPr>
          <w:rFonts w:ascii="Georgia" w:hAnsi="Georgia"/>
        </w:rPr>
        <w:t>, Condrau 2007</w:t>
      </w:r>
      <w:r w:rsidR="000A769D" w:rsidRPr="00664609">
        <w:rPr>
          <w:rFonts w:ascii="Georgia" w:hAnsi="Georgia"/>
        </w:rPr>
        <w:t>)</w:t>
      </w:r>
      <w:r w:rsidR="005E73FF" w:rsidRPr="00664609">
        <w:rPr>
          <w:rFonts w:ascii="Georgia" w:hAnsi="Georgia"/>
        </w:rPr>
        <w:t>.</w:t>
      </w:r>
      <w:r w:rsidR="000A769D" w:rsidRPr="00664609">
        <w:rPr>
          <w:rFonts w:ascii="Georgia" w:hAnsi="Georgia"/>
        </w:rPr>
        <w:t xml:space="preserve"> </w:t>
      </w:r>
      <w:r w:rsidR="00DD1169">
        <w:rPr>
          <w:rFonts w:ascii="Georgia" w:hAnsi="Georgia"/>
        </w:rPr>
        <w:t>Contrary to</w:t>
      </w:r>
      <w:r w:rsidR="00CB1625" w:rsidRPr="00664609">
        <w:rPr>
          <w:rFonts w:ascii="Georgia" w:hAnsi="Georgia"/>
        </w:rPr>
        <w:t xml:space="preserve"> Aaslestad’s </w:t>
      </w:r>
      <w:r w:rsidR="00D4223B" w:rsidRPr="00664609">
        <w:rPr>
          <w:rFonts w:ascii="Georgia" w:hAnsi="Georgia"/>
        </w:rPr>
        <w:t>book</w:t>
      </w:r>
      <w:r w:rsidR="00DD1169">
        <w:rPr>
          <w:rFonts w:ascii="Georgia" w:hAnsi="Georgia"/>
        </w:rPr>
        <w:t>,</w:t>
      </w:r>
      <w:r w:rsidR="00D4223B" w:rsidRPr="00664609">
        <w:rPr>
          <w:rFonts w:ascii="Georgia" w:hAnsi="Georgia"/>
        </w:rPr>
        <w:t xml:space="preserve"> socio</w:t>
      </w:r>
      <w:r w:rsidR="008077E7" w:rsidRPr="00664609">
        <w:rPr>
          <w:rFonts w:ascii="Georgia" w:hAnsi="Georgia"/>
        </w:rPr>
        <w:t xml:space="preserve">logy and historiography </w:t>
      </w:r>
      <w:r w:rsidR="00C457DC">
        <w:rPr>
          <w:rFonts w:ascii="Georgia" w:hAnsi="Georgia"/>
        </w:rPr>
        <w:t xml:space="preserve">are </w:t>
      </w:r>
      <w:r w:rsidR="00D4223B" w:rsidRPr="00664609">
        <w:rPr>
          <w:rFonts w:ascii="Georgia" w:hAnsi="Georgia"/>
        </w:rPr>
        <w:t>inevitably less interested in asking how narration takes place in</w:t>
      </w:r>
      <w:r w:rsidR="008077E7" w:rsidRPr="00664609">
        <w:rPr>
          <w:rFonts w:ascii="Georgia" w:hAnsi="Georgia"/>
        </w:rPr>
        <w:t xml:space="preserve"> stories written by or </w:t>
      </w:r>
      <w:r w:rsidR="00F52D0C" w:rsidRPr="00664609">
        <w:rPr>
          <w:rFonts w:ascii="Georgia" w:hAnsi="Georgia"/>
        </w:rPr>
        <w:t>about</w:t>
      </w:r>
      <w:r w:rsidR="008077E7" w:rsidRPr="00664609">
        <w:rPr>
          <w:rFonts w:ascii="Georgia" w:hAnsi="Georgia"/>
        </w:rPr>
        <w:t xml:space="preserve"> patients</w:t>
      </w:r>
      <w:r w:rsidR="00D4223B" w:rsidRPr="00664609">
        <w:rPr>
          <w:rFonts w:ascii="Georgia" w:hAnsi="Georgia"/>
        </w:rPr>
        <w:t xml:space="preserve">, and more </w:t>
      </w:r>
      <w:r w:rsidR="008077E7" w:rsidRPr="00664609">
        <w:rPr>
          <w:rFonts w:ascii="Georgia" w:hAnsi="Georgia"/>
        </w:rPr>
        <w:t>in using these stories</w:t>
      </w:r>
      <w:r w:rsidR="00D4223B" w:rsidRPr="00664609">
        <w:rPr>
          <w:rFonts w:ascii="Georgia" w:hAnsi="Georgia"/>
        </w:rPr>
        <w:t xml:space="preserve"> as documents capable of exemplifying or explaining historical </w:t>
      </w:r>
      <w:r w:rsidR="008077E7" w:rsidRPr="00664609">
        <w:rPr>
          <w:rFonts w:ascii="Georgia" w:hAnsi="Georgia"/>
        </w:rPr>
        <w:t xml:space="preserve">and social </w:t>
      </w:r>
      <w:r w:rsidR="00D4223B" w:rsidRPr="00664609">
        <w:rPr>
          <w:rFonts w:ascii="Georgia" w:hAnsi="Georgia"/>
        </w:rPr>
        <w:t>processes</w:t>
      </w:r>
      <w:r w:rsidR="004842C8" w:rsidRPr="00664609">
        <w:rPr>
          <w:rFonts w:ascii="Georgia" w:hAnsi="Georgia"/>
        </w:rPr>
        <w:t xml:space="preserve"> (Ernst 1999, Nolte 2009)</w:t>
      </w:r>
      <w:r w:rsidR="00D4223B" w:rsidRPr="00664609">
        <w:rPr>
          <w:rFonts w:ascii="Georgia" w:hAnsi="Georgia"/>
        </w:rPr>
        <w:t xml:space="preserve">. </w:t>
      </w:r>
      <w:r w:rsidR="00527FC3" w:rsidRPr="00664609">
        <w:rPr>
          <w:rFonts w:ascii="Georgia" w:hAnsi="Georgia"/>
        </w:rPr>
        <w:t>A later example of the interest in patient stories is rendered through narrative medicine</w:t>
      </w:r>
      <w:r w:rsidR="00091B55" w:rsidRPr="00664609">
        <w:rPr>
          <w:rFonts w:ascii="Georgia" w:hAnsi="Georgia"/>
        </w:rPr>
        <w:t xml:space="preserve"> whose </w:t>
      </w:r>
      <w:r w:rsidR="00527FC3" w:rsidRPr="00664609">
        <w:rPr>
          <w:rFonts w:ascii="Georgia" w:hAnsi="Georgia"/>
        </w:rPr>
        <w:t xml:space="preserve">most prominent spokesperson is the physician and literary scholar Rita Charon from Columbia University. She conceives of narrative medicine as a response to a bureaucratic health care system and argues that by making genuine contact with patients by storytelling, narrative medicine leads to a more humane, ethical and effective health care (Charon 2007). </w:t>
      </w:r>
    </w:p>
    <w:p w14:paraId="643E9940" w14:textId="77777777" w:rsidR="007E6880" w:rsidRPr="00664609" w:rsidRDefault="007E6880" w:rsidP="00880A65">
      <w:pPr>
        <w:pStyle w:val="Ingetavstnd"/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15D1EA4B" w14:textId="1EB3ADBA" w:rsidR="007E6880" w:rsidRPr="00664609" w:rsidRDefault="00853D24" w:rsidP="00880A65">
      <w:pPr>
        <w:pStyle w:val="Ingetavstnd"/>
        <w:spacing w:line="360" w:lineRule="auto"/>
        <w:jc w:val="both"/>
        <w:rPr>
          <w:rFonts w:ascii="Georgia" w:hAnsi="Georgia" w:cs="Times New Roman"/>
          <w:sz w:val="24"/>
          <w:szCs w:val="24"/>
          <w:lang w:val="en-GB" w:eastAsia="en-GB"/>
        </w:rPr>
      </w:pPr>
      <w:r w:rsidRPr="00664609">
        <w:rPr>
          <w:rFonts w:ascii="Georgia" w:hAnsi="Georgia" w:cs="Times New Roman"/>
          <w:sz w:val="24"/>
          <w:szCs w:val="24"/>
          <w:lang w:val="en-GB" w:eastAsia="en-GB"/>
        </w:rPr>
        <w:lastRenderedPageBreak/>
        <w:t xml:space="preserve">Despite a certain academic interest in different aspects of patient stories during the last few decades and despite an obviously growing number of patients’ testimonies </w:t>
      </w:r>
      <w:r w:rsidRPr="00664609">
        <w:rPr>
          <w:rFonts w:ascii="Georgia" w:eastAsia="Times New Roman" w:hAnsi="Georgia" w:cs="Times New Roman"/>
          <w:sz w:val="24"/>
          <w:szCs w:val="24"/>
          <w:shd w:val="clear" w:color="auto" w:fill="auto"/>
          <w:lang w:val="en-GB"/>
        </w:rPr>
        <w:t>that represent experiences of illness from the viewpoint of patients or their relatives, these mostly written stories are still a rather uncharted territory – especially within the field of literary studies</w:t>
      </w:r>
      <w:r w:rsidR="00972AFB" w:rsidRPr="00664609">
        <w:rPr>
          <w:rFonts w:ascii="Georgia" w:eastAsia="Times New Roman" w:hAnsi="Georgia" w:cs="Times New Roman"/>
          <w:sz w:val="24"/>
          <w:szCs w:val="24"/>
          <w:shd w:val="clear" w:color="auto" w:fill="auto"/>
          <w:lang w:val="en-GB"/>
        </w:rPr>
        <w:t xml:space="preserve"> (Rimmon-Kenan 2006, Stene-Johansen and Tygstrup</w:t>
      </w:r>
      <w:r w:rsidR="00695291" w:rsidRPr="00664609">
        <w:rPr>
          <w:rFonts w:ascii="Georgia" w:eastAsia="Times New Roman" w:hAnsi="Georgia" w:cs="Times New Roman"/>
          <w:sz w:val="24"/>
          <w:szCs w:val="24"/>
          <w:shd w:val="clear" w:color="auto" w:fill="auto"/>
          <w:lang w:val="en-GB"/>
        </w:rPr>
        <w:t xml:space="preserve"> 2010)</w:t>
      </w:r>
      <w:r w:rsidRPr="00664609">
        <w:rPr>
          <w:rFonts w:ascii="Georgia" w:eastAsia="Times New Roman" w:hAnsi="Georgia" w:cs="Times New Roman"/>
          <w:sz w:val="24"/>
          <w:szCs w:val="24"/>
          <w:shd w:val="clear" w:color="auto" w:fill="auto"/>
          <w:lang w:val="en-GB"/>
        </w:rPr>
        <w:t xml:space="preserve">. </w:t>
      </w:r>
      <w:r w:rsidR="00C457DC">
        <w:rPr>
          <w:rFonts w:ascii="Georgia" w:hAnsi="Georgia" w:cs="Times New Roman"/>
          <w:sz w:val="24"/>
          <w:szCs w:val="24"/>
          <w:lang w:val="en-GB" w:eastAsia="en-GB"/>
        </w:rPr>
        <w:t xml:space="preserve">Pathographies, i. e. autobiographical stories about illness </w:t>
      </w:r>
      <w:r w:rsidR="004842C8" w:rsidRPr="00664609">
        <w:rPr>
          <w:rFonts w:ascii="Georgia" w:hAnsi="Georgia" w:cs="Times New Roman"/>
          <w:sz w:val="24"/>
          <w:szCs w:val="24"/>
          <w:lang w:val="en-GB" w:eastAsia="en-GB"/>
        </w:rPr>
        <w:t>(</w:t>
      </w:r>
      <w:r w:rsidR="00091B55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Hawkins 1999, </w:t>
      </w:r>
      <w:r w:rsidR="004842C8" w:rsidRPr="00664609">
        <w:rPr>
          <w:rFonts w:ascii="Georgia" w:hAnsi="Georgia" w:cs="Times New Roman"/>
          <w:sz w:val="24"/>
          <w:szCs w:val="24"/>
          <w:lang w:val="en-GB" w:eastAsia="en-GB"/>
        </w:rPr>
        <w:t>Engelhardt 2002)</w:t>
      </w:r>
      <w:r w:rsidR="00592ECE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, are often narrated by lay people </w:t>
      </w:r>
      <w:r w:rsidR="008077E7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who are </w:t>
      </w:r>
      <w:r w:rsidR="00592ECE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neither </w:t>
      </w:r>
      <w:r w:rsidR="008077E7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trained </w:t>
      </w:r>
      <w:r w:rsidR="00592ECE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authors nor intellectuals. Their value is not </w:t>
      </w:r>
      <w:r w:rsidR="00711184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considered </w:t>
      </w:r>
      <w:r w:rsidR="00592ECE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that of grand literature, although surprisingly many of 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>those that</w:t>
      </w:r>
      <w:r w:rsidR="00592ECE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are published a</w:t>
      </w:r>
      <w:r w:rsidR="00293E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re 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of high literary quality. </w:t>
      </w:r>
      <w:r w:rsidR="00DE2EA6" w:rsidRPr="00664609">
        <w:rPr>
          <w:rFonts w:ascii="Georgia" w:hAnsi="Georgia" w:cs="Times New Roman"/>
          <w:sz w:val="24"/>
          <w:szCs w:val="24"/>
          <w:lang w:val="en-GB" w:eastAsia="en-GB"/>
        </w:rPr>
        <w:t>In r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>ecent years pathographies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>—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>and patient stories in general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>—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>have</w:t>
      </w:r>
      <w:r w:rsidR="00711184" w:rsidRPr="00664609">
        <w:rPr>
          <w:rFonts w:ascii="Georgia" w:hAnsi="Georgia" w:cs="Times New Roman"/>
          <w:sz w:val="24"/>
          <w:szCs w:val="24"/>
          <w:lang w:val="en-GB" w:eastAsia="en-GB"/>
        </w:rPr>
        <w:t>,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however</w:t>
      </w:r>
      <w:r w:rsidR="00711184" w:rsidRPr="00664609">
        <w:rPr>
          <w:rFonts w:ascii="Georgia" w:hAnsi="Georgia" w:cs="Times New Roman"/>
          <w:sz w:val="24"/>
          <w:szCs w:val="24"/>
          <w:lang w:val="en-GB" w:eastAsia="en-GB"/>
        </w:rPr>
        <w:t>,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given way to 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a broad scope of illness stories </w:t>
      </w:r>
      <w:r w:rsidR="0049208D">
        <w:rPr>
          <w:rFonts w:ascii="Georgia" w:hAnsi="Georgia" w:cs="Times New Roman"/>
          <w:sz w:val="24"/>
          <w:szCs w:val="24"/>
          <w:lang w:val="en-GB" w:eastAsia="en-GB"/>
        </w:rPr>
        <w:t xml:space="preserve">not only rendered in books, but also 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in both new 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>digital formats like blogs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</w:t>
      </w:r>
      <w:r w:rsidR="00091B55" w:rsidRPr="00664609">
        <w:rPr>
          <w:rFonts w:ascii="Georgia" w:hAnsi="Georgia" w:cs="Times New Roman"/>
          <w:sz w:val="24"/>
          <w:szCs w:val="24"/>
          <w:lang w:val="en-GB" w:eastAsia="en-GB"/>
        </w:rPr>
        <w:t>(Podnieks 2016</w:t>
      </w:r>
      <w:r w:rsidR="00695291" w:rsidRPr="00664609">
        <w:rPr>
          <w:rFonts w:ascii="Georgia" w:hAnsi="Georgia" w:cs="Times New Roman"/>
          <w:sz w:val="24"/>
          <w:szCs w:val="24"/>
          <w:lang w:val="en-GB" w:eastAsia="en-GB"/>
        </w:rPr>
        <w:t>, Nesby and Salamonsen 2016</w:t>
      </w:r>
      <w:r w:rsidR="00091B55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) 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>as well as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appearing frequently on </w:t>
      </w:r>
      <w:r w:rsidR="008077E7" w:rsidRPr="00664609">
        <w:rPr>
          <w:rFonts w:ascii="Georgia" w:hAnsi="Georgia" w:cs="Times New Roman"/>
          <w:sz w:val="24"/>
          <w:szCs w:val="24"/>
          <w:lang w:val="en-GB" w:eastAsia="en-GB"/>
        </w:rPr>
        <w:t>TV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, </w:t>
      </w:r>
      <w:r w:rsidR="00F52D0C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and in 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>newspapers and maga</w:t>
      </w:r>
      <w:r w:rsidR="000A769D" w:rsidRPr="00664609">
        <w:rPr>
          <w:rFonts w:ascii="Georgia" w:hAnsi="Georgia" w:cs="Times New Roman"/>
          <w:sz w:val="24"/>
          <w:szCs w:val="24"/>
          <w:lang w:val="en-GB" w:eastAsia="en-GB"/>
        </w:rPr>
        <w:t>z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>ines as a result of the public interest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in these stories (</w:t>
      </w:r>
      <w:r w:rsidR="0004599F" w:rsidRPr="00664609">
        <w:rPr>
          <w:rFonts w:ascii="Georgia" w:hAnsi="Georgia" w:cs="Times New Roman"/>
          <w:sz w:val="24"/>
          <w:szCs w:val="24"/>
          <w:lang w:val="en-GB" w:eastAsia="en-GB"/>
        </w:rPr>
        <w:t>Walter 2010</w:t>
      </w:r>
      <w:r w:rsidR="00DB3AF1" w:rsidRPr="00664609">
        <w:rPr>
          <w:rFonts w:ascii="Georgia" w:hAnsi="Georgia" w:cs="Times New Roman"/>
          <w:sz w:val="24"/>
          <w:szCs w:val="24"/>
          <w:lang w:val="en-GB" w:eastAsia="en-GB"/>
        </w:rPr>
        <w:t>).</w:t>
      </w:r>
      <w:r w:rsidR="007E6880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</w:t>
      </w:r>
      <w:r w:rsidR="00303358" w:rsidRPr="00664609">
        <w:rPr>
          <w:rFonts w:ascii="Georgia" w:hAnsi="Georgia" w:cs="Times New Roman"/>
          <w:sz w:val="24"/>
          <w:szCs w:val="24"/>
          <w:lang w:val="en-GB" w:eastAsia="en-GB"/>
        </w:rPr>
        <w:t>What are the literary techniques used in these formats, how do they differ from older, perhaps more traditional formats and what are themat</w:t>
      </w:r>
      <w:r w:rsidR="0096273A">
        <w:rPr>
          <w:rFonts w:ascii="Georgia" w:hAnsi="Georgia" w:cs="Times New Roman"/>
          <w:sz w:val="24"/>
          <w:szCs w:val="24"/>
          <w:lang w:val="en-GB" w:eastAsia="en-GB"/>
        </w:rPr>
        <w:t xml:space="preserve">ic implications of a day to day </w:t>
      </w:r>
      <w:r w:rsidR="00303358" w:rsidRPr="00664609">
        <w:rPr>
          <w:rFonts w:ascii="Georgia" w:hAnsi="Georgia" w:cs="Times New Roman"/>
          <w:sz w:val="24"/>
          <w:szCs w:val="24"/>
          <w:lang w:val="en-GB" w:eastAsia="en-GB"/>
        </w:rPr>
        <w:t>rendering of own illn</w:t>
      </w:r>
      <w:r w:rsidR="007E55CA" w:rsidRPr="00664609">
        <w:rPr>
          <w:rFonts w:ascii="Georgia" w:hAnsi="Georgia" w:cs="Times New Roman"/>
          <w:sz w:val="24"/>
          <w:szCs w:val="24"/>
          <w:lang w:val="en-GB" w:eastAsia="en-GB"/>
        </w:rPr>
        <w:t>e</w:t>
      </w:r>
      <w:r w:rsidR="00303358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ss – as </w:t>
      </w:r>
      <w:r w:rsidR="007E55CA" w:rsidRPr="00664609">
        <w:rPr>
          <w:rFonts w:ascii="Georgia" w:hAnsi="Georgia" w:cs="Times New Roman"/>
          <w:sz w:val="24"/>
          <w:szCs w:val="24"/>
          <w:lang w:val="en-GB" w:eastAsia="en-GB"/>
        </w:rPr>
        <w:t>is the case with</w:t>
      </w:r>
      <w:r w:rsidR="00F94532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patient blogs</w:t>
      </w:r>
      <w:r w:rsidR="00F367D0" w:rsidRPr="00664609">
        <w:rPr>
          <w:rFonts w:ascii="Georgia" w:hAnsi="Georgia" w:cs="Times New Roman"/>
          <w:sz w:val="24"/>
          <w:szCs w:val="24"/>
          <w:lang w:val="en-GB" w:eastAsia="en-GB"/>
        </w:rPr>
        <w:t>?</w:t>
      </w:r>
      <w:r w:rsidR="00F94532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How ha</w:t>
      </w:r>
      <w:r w:rsidR="00303358" w:rsidRPr="00664609">
        <w:rPr>
          <w:rFonts w:ascii="Georgia" w:hAnsi="Georgia" w:cs="Times New Roman"/>
          <w:sz w:val="24"/>
          <w:szCs w:val="24"/>
          <w:lang w:val="en-GB" w:eastAsia="en-GB"/>
        </w:rPr>
        <w:t>s t</w:t>
      </w:r>
      <w:r w:rsidR="00F94532" w:rsidRPr="00664609">
        <w:rPr>
          <w:rFonts w:ascii="Georgia" w:hAnsi="Georgia" w:cs="Times New Roman"/>
          <w:sz w:val="24"/>
          <w:szCs w:val="24"/>
          <w:lang w:val="en-GB" w:eastAsia="en-GB"/>
        </w:rPr>
        <w:t>he communicative aspect changed</w:t>
      </w:r>
      <w:r w:rsidR="00303358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from older patients stories to the stories of today, </w:t>
      </w:r>
      <w:r w:rsidR="00F94532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and </w:t>
      </w:r>
      <w:r w:rsidR="007E55CA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how are </w:t>
      </w:r>
      <w:r w:rsidR="000378E0">
        <w:rPr>
          <w:rFonts w:ascii="Georgia" w:hAnsi="Georgia" w:cs="Times New Roman"/>
          <w:sz w:val="24"/>
          <w:szCs w:val="24"/>
          <w:lang w:val="en-GB" w:eastAsia="en-GB"/>
        </w:rPr>
        <w:t xml:space="preserve">e.g. </w:t>
      </w:r>
      <w:r w:rsidR="007E55CA" w:rsidRPr="00664609">
        <w:rPr>
          <w:rFonts w:ascii="Georgia" w:hAnsi="Georgia" w:cs="Times New Roman"/>
          <w:sz w:val="24"/>
          <w:szCs w:val="24"/>
          <w:lang w:val="en-GB" w:eastAsia="en-GB"/>
        </w:rPr>
        <w:t>relatives and friends depicted</w:t>
      </w:r>
      <w:r w:rsidR="00F367D0" w:rsidRPr="00664609">
        <w:rPr>
          <w:rFonts w:ascii="Georgia" w:hAnsi="Georgia" w:cs="Times New Roman"/>
          <w:sz w:val="24"/>
          <w:szCs w:val="24"/>
          <w:lang w:val="en-GB" w:eastAsia="en-GB"/>
        </w:rPr>
        <w:t>?</w:t>
      </w:r>
      <w:r w:rsidR="007E55CA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</w:t>
      </w:r>
      <w:r w:rsidRPr="00664609">
        <w:rPr>
          <w:rFonts w:ascii="Georgia" w:hAnsi="Georgia" w:cs="Times New Roman"/>
          <w:sz w:val="24"/>
          <w:szCs w:val="24"/>
          <w:lang w:val="en-GB" w:eastAsia="en-GB"/>
        </w:rPr>
        <w:t>Furthermore, t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he question of why these stories attract so many readers, </w:t>
      </w:r>
      <w:r w:rsidR="00F77747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has yet to be explained </w:t>
      </w:r>
      <w:r w:rsidR="00A46DC7" w:rsidRPr="00664609">
        <w:rPr>
          <w:rFonts w:ascii="Georgia" w:hAnsi="Georgia" w:cs="Times New Roman"/>
          <w:sz w:val="24"/>
          <w:szCs w:val="24"/>
          <w:lang w:val="en-GB" w:eastAsia="en-GB"/>
        </w:rPr>
        <w:t>—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both as a literary and cultural phenomenon. Rita Felski’s argument for </w:t>
      </w:r>
      <w:r w:rsidR="004940E9" w:rsidRPr="00664609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a </w:t>
      </w:r>
      <w:r w:rsidR="0049208D">
        <w:rPr>
          <w:rFonts w:ascii="Georgia" w:hAnsi="Georgia" w:cs="Times New Roman"/>
          <w:color w:val="1D2626"/>
          <w:sz w:val="24"/>
          <w:szCs w:val="24"/>
          <w:lang w:val="en-US"/>
        </w:rPr>
        <w:t>“</w:t>
      </w:r>
      <w:r w:rsidR="0049208D" w:rsidRPr="00664609">
        <w:rPr>
          <w:rFonts w:ascii="Georgia" w:hAnsi="Georgia" w:cs="Times New Roman"/>
          <w:color w:val="1D2626"/>
          <w:sz w:val="24"/>
          <w:szCs w:val="24"/>
          <w:lang w:val="en-US"/>
        </w:rPr>
        <w:t>ne</w:t>
      </w:r>
      <w:r w:rsidR="0049208D">
        <w:rPr>
          <w:rFonts w:ascii="Georgia" w:hAnsi="Georgia" w:cs="Times New Roman"/>
          <w:color w:val="1D2626"/>
          <w:sz w:val="24"/>
          <w:szCs w:val="24"/>
          <w:lang w:val="en-US"/>
        </w:rPr>
        <w:t>o</w:t>
      </w:r>
      <w:r w:rsidR="0049208D" w:rsidRPr="00664609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 </w:t>
      </w:r>
      <w:r w:rsidR="004940E9" w:rsidRPr="00664609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phenomenology” </w:t>
      </w:r>
      <w:r w:rsidR="0049208D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can be used to explain </w:t>
      </w:r>
      <w:r w:rsidR="004940E9" w:rsidRPr="00664609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the historical and social dimensions </w:t>
      </w:r>
      <w:r w:rsidR="0049208D">
        <w:rPr>
          <w:rFonts w:ascii="Georgia" w:hAnsi="Georgia" w:cs="Times New Roman"/>
          <w:color w:val="1D2626"/>
          <w:sz w:val="24"/>
          <w:szCs w:val="24"/>
          <w:lang w:val="en-US"/>
        </w:rPr>
        <w:t xml:space="preserve">in 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>catching the attractiveness that patient stories ha</w:t>
      </w:r>
      <w:r w:rsidR="00A46DC7" w:rsidRPr="00664609">
        <w:rPr>
          <w:rFonts w:ascii="Georgia" w:hAnsi="Georgia" w:cs="Times New Roman"/>
          <w:sz w:val="24"/>
          <w:szCs w:val="24"/>
          <w:lang w:val="en-GB" w:eastAsia="en-GB"/>
        </w:rPr>
        <w:t>ve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had and </w:t>
      </w:r>
      <w:r w:rsidR="00711184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will continue to 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>ha</w:t>
      </w:r>
      <w:r w:rsidR="00A46DC7" w:rsidRPr="00664609">
        <w:rPr>
          <w:rFonts w:ascii="Georgia" w:hAnsi="Georgia" w:cs="Times New Roman"/>
          <w:sz w:val="24"/>
          <w:szCs w:val="24"/>
          <w:lang w:val="en-GB" w:eastAsia="en-GB"/>
        </w:rPr>
        <w:t>ve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on </w:t>
      </w:r>
      <w:r w:rsidR="00711184" w:rsidRPr="00664609">
        <w:rPr>
          <w:rFonts w:ascii="Georgia" w:hAnsi="Georgia" w:cs="Times New Roman"/>
          <w:sz w:val="24"/>
          <w:szCs w:val="24"/>
          <w:lang w:val="en-GB" w:eastAsia="en-GB"/>
        </w:rPr>
        <w:t>their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readers</w:t>
      </w:r>
      <w:r w:rsidR="0049208D">
        <w:rPr>
          <w:rFonts w:ascii="Georgia" w:hAnsi="Georgia" w:cs="Times New Roman"/>
          <w:sz w:val="24"/>
          <w:szCs w:val="24"/>
          <w:lang w:val="en-GB" w:eastAsia="en-GB"/>
        </w:rPr>
        <w:t>: “If historical analysis takes place in the third person, phenomenology ties such analysis back to the first person, clarifying how and why particular texts matter to us”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(Felski 2008</w:t>
      </w:r>
      <w:r w:rsidR="0049208D">
        <w:rPr>
          <w:rFonts w:ascii="Georgia" w:hAnsi="Georgia" w:cs="Times New Roman"/>
          <w:sz w:val="24"/>
          <w:szCs w:val="24"/>
          <w:lang w:val="en-GB" w:eastAsia="en-GB"/>
        </w:rPr>
        <w:t>: 19</w:t>
      </w:r>
      <w:r w:rsidR="004940E9" w:rsidRPr="00664609">
        <w:rPr>
          <w:rFonts w:ascii="Georgia" w:hAnsi="Georgia" w:cs="Times New Roman"/>
          <w:sz w:val="24"/>
          <w:szCs w:val="24"/>
          <w:lang w:val="en-GB" w:eastAsia="en-GB"/>
        </w:rPr>
        <w:t>).</w:t>
      </w:r>
      <w:r w:rsidR="00EC0DC7" w:rsidRPr="00664609">
        <w:rPr>
          <w:rFonts w:ascii="Georgia" w:hAnsi="Georgia" w:cs="Times New Roman"/>
          <w:sz w:val="24"/>
          <w:szCs w:val="24"/>
          <w:lang w:val="en-GB" w:eastAsia="en-GB"/>
        </w:rPr>
        <w:t xml:space="preserve"> </w:t>
      </w:r>
    </w:p>
    <w:p w14:paraId="3596EC24" w14:textId="77777777" w:rsidR="007E6880" w:rsidRPr="00664609" w:rsidRDefault="007E6880" w:rsidP="00880A65">
      <w:pPr>
        <w:pStyle w:val="Ingetavstnd"/>
        <w:spacing w:line="360" w:lineRule="auto"/>
        <w:jc w:val="both"/>
        <w:rPr>
          <w:rFonts w:ascii="Georgia" w:hAnsi="Georgia" w:cs="Times New Roman"/>
          <w:sz w:val="24"/>
          <w:szCs w:val="24"/>
          <w:lang w:val="en-GB" w:eastAsia="en-GB"/>
        </w:rPr>
      </w:pPr>
    </w:p>
    <w:p w14:paraId="2EF5F0E7" w14:textId="3648B4C1" w:rsidR="0038387B" w:rsidRPr="00664609" w:rsidRDefault="00E715D3" w:rsidP="003B71EC">
      <w:pPr>
        <w:pStyle w:val="Ingetavstnd"/>
        <w:spacing w:line="36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664609">
        <w:rPr>
          <w:rFonts w:ascii="Georgia" w:eastAsia="Times New Roman" w:hAnsi="Georgia" w:cs="Times New Roman"/>
          <w:sz w:val="24"/>
          <w:szCs w:val="24"/>
          <w:shd w:val="clear" w:color="auto" w:fill="auto"/>
          <w:lang w:val="en-GB"/>
        </w:rPr>
        <w:t xml:space="preserve">To investigate these questions </w:t>
      </w:r>
      <w:r w:rsidR="0007249C" w:rsidRPr="00664609">
        <w:rPr>
          <w:rFonts w:ascii="Georgia" w:eastAsia="Times New Roman" w:hAnsi="Georgia" w:cs="Times New Roman"/>
          <w:sz w:val="24"/>
          <w:szCs w:val="24"/>
          <w:lang w:val="en-GB"/>
        </w:rPr>
        <w:t>t</w:t>
      </w:r>
      <w:r w:rsidR="00A64170" w:rsidRPr="00664609">
        <w:rPr>
          <w:rFonts w:ascii="Georgia" w:hAnsi="Georgia" w:cs="Times New Roman"/>
          <w:sz w:val="24"/>
          <w:szCs w:val="24"/>
          <w:lang w:val="en-GB"/>
        </w:rPr>
        <w:t xml:space="preserve">he research group «Health, Art and Society» </w:t>
      </w:r>
      <w:r w:rsidR="005E0915" w:rsidRPr="00664609">
        <w:rPr>
          <w:rFonts w:ascii="Georgia" w:hAnsi="Georgia" w:cs="Times New Roman"/>
          <w:sz w:val="24"/>
          <w:szCs w:val="24"/>
          <w:lang w:val="en-GB"/>
        </w:rPr>
        <w:t xml:space="preserve">at UiT The Arctic University of Norway </w:t>
      </w:r>
      <w:r w:rsidR="00A64170" w:rsidRPr="00664609">
        <w:rPr>
          <w:rFonts w:ascii="Georgia" w:hAnsi="Georgia" w:cs="Times New Roman"/>
          <w:sz w:val="24"/>
          <w:szCs w:val="24"/>
          <w:lang w:val="en-GB"/>
        </w:rPr>
        <w:t xml:space="preserve">would like to invite researchers and </w:t>
      </w:r>
      <w:r w:rsidR="007D3EF7" w:rsidRPr="00664609">
        <w:rPr>
          <w:rFonts w:ascii="Georgia" w:hAnsi="Georgia" w:cs="Times New Roman"/>
          <w:sz w:val="24"/>
          <w:szCs w:val="24"/>
          <w:lang w:val="en-GB"/>
        </w:rPr>
        <w:t>P</w:t>
      </w:r>
      <w:r w:rsidR="00A64170" w:rsidRPr="00664609">
        <w:rPr>
          <w:rFonts w:ascii="Georgia" w:hAnsi="Georgia" w:cs="Times New Roman"/>
          <w:sz w:val="24"/>
          <w:szCs w:val="24"/>
          <w:lang w:val="en-GB"/>
        </w:rPr>
        <w:t>h.</w:t>
      </w:r>
      <w:r w:rsidR="007D3EF7" w:rsidRPr="00664609">
        <w:rPr>
          <w:rFonts w:ascii="Georgia" w:hAnsi="Georgia" w:cs="Times New Roman"/>
          <w:sz w:val="24"/>
          <w:szCs w:val="24"/>
          <w:lang w:val="en-GB"/>
        </w:rPr>
        <w:t>D</w:t>
      </w:r>
      <w:r w:rsidR="00664609">
        <w:rPr>
          <w:rFonts w:ascii="Georgia" w:hAnsi="Georgia" w:cs="Times New Roman"/>
          <w:sz w:val="24"/>
          <w:szCs w:val="24"/>
          <w:lang w:val="en-GB"/>
        </w:rPr>
        <w:t xml:space="preserve">. students to the symposium </w:t>
      </w:r>
      <w:r w:rsidR="00A64170" w:rsidRPr="00664609">
        <w:rPr>
          <w:rFonts w:ascii="Georgia" w:hAnsi="Georgia" w:cs="Times New Roman"/>
          <w:sz w:val="24"/>
          <w:szCs w:val="24"/>
          <w:lang w:val="en-GB"/>
        </w:rPr>
        <w:t xml:space="preserve">“The patient as text – revisited”. </w:t>
      </w:r>
      <w:r w:rsidR="00972AFB" w:rsidRPr="00664609">
        <w:rPr>
          <w:rFonts w:ascii="Georgia" w:hAnsi="Georgia" w:cs="Times New Roman"/>
          <w:sz w:val="24"/>
          <w:szCs w:val="24"/>
          <w:lang w:val="en-GB"/>
        </w:rPr>
        <w:t xml:space="preserve">The symposium </w:t>
      </w:r>
      <w:r w:rsidR="005E0915" w:rsidRPr="00664609">
        <w:rPr>
          <w:rFonts w:ascii="Georgia" w:hAnsi="Georgia" w:cs="Times New Roman"/>
          <w:sz w:val="24"/>
          <w:szCs w:val="24"/>
          <w:lang w:val="en-GB"/>
        </w:rPr>
        <w:t xml:space="preserve">will take place at the Norwegian University Centre </w:t>
      </w:r>
      <w:r w:rsidR="00C37BE6" w:rsidRPr="00664609">
        <w:rPr>
          <w:rFonts w:ascii="Georgia" w:hAnsi="Georgia" w:cs="Times New Roman"/>
          <w:sz w:val="24"/>
          <w:szCs w:val="24"/>
          <w:lang w:val="en-GB"/>
        </w:rPr>
        <w:t xml:space="preserve">in Paris </w:t>
      </w:r>
      <w:r w:rsidR="005E0915" w:rsidRPr="00664609">
        <w:rPr>
          <w:rFonts w:ascii="Georgia" w:hAnsi="Georgia" w:cs="Times New Roman"/>
          <w:sz w:val="24"/>
          <w:szCs w:val="24"/>
          <w:lang w:val="en-GB"/>
        </w:rPr>
        <w:t>11</w:t>
      </w:r>
      <w:r w:rsidR="00C37BE6" w:rsidRPr="00664609">
        <w:rPr>
          <w:rFonts w:ascii="Georgia" w:hAnsi="Georgia" w:cs="Times New Roman"/>
          <w:sz w:val="24"/>
          <w:szCs w:val="24"/>
          <w:lang w:val="en-GB"/>
        </w:rPr>
        <w:t>-13</w:t>
      </w:r>
      <w:r w:rsidR="005E0915" w:rsidRPr="00664609">
        <w:rPr>
          <w:rFonts w:ascii="Georgia" w:hAnsi="Georgia" w:cs="Times New Roman"/>
          <w:sz w:val="24"/>
          <w:szCs w:val="24"/>
          <w:lang w:val="en-GB"/>
        </w:rPr>
        <w:t xml:space="preserve"> September 2018.</w:t>
      </w:r>
    </w:p>
    <w:p w14:paraId="51BCBD67" w14:textId="77777777" w:rsidR="00D90F33" w:rsidRPr="00664609" w:rsidRDefault="00D90F33" w:rsidP="00880A65">
      <w:pPr>
        <w:spacing w:line="360" w:lineRule="auto"/>
        <w:jc w:val="both"/>
        <w:rPr>
          <w:rFonts w:ascii="Georgia" w:hAnsi="Georgia"/>
        </w:rPr>
      </w:pPr>
    </w:p>
    <w:p w14:paraId="27BBBA37" w14:textId="4468ED36" w:rsidR="00E61B5B" w:rsidRPr="00664609" w:rsidRDefault="00664609" w:rsidP="00880A65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The symposium</w:t>
      </w:r>
      <w:r w:rsidR="000626D2" w:rsidRPr="00664609">
        <w:rPr>
          <w:rFonts w:ascii="Georgia" w:hAnsi="Georgia"/>
        </w:rPr>
        <w:t xml:space="preserve"> will explore the role of </w:t>
      </w:r>
      <w:r w:rsidR="000378E0">
        <w:rPr>
          <w:rFonts w:ascii="Georgia" w:hAnsi="Georgia"/>
        </w:rPr>
        <w:t xml:space="preserve">patients’ </w:t>
      </w:r>
      <w:r w:rsidR="000626D2" w:rsidRPr="00664609">
        <w:rPr>
          <w:rFonts w:ascii="Georgia" w:hAnsi="Georgia"/>
        </w:rPr>
        <w:t>narratives</w:t>
      </w:r>
      <w:r w:rsidR="000378E0">
        <w:rPr>
          <w:rFonts w:ascii="Georgia" w:hAnsi="Georgia"/>
        </w:rPr>
        <w:t xml:space="preserve"> presented via the above mentioned channels</w:t>
      </w:r>
      <w:r w:rsidR="00E473E3" w:rsidRPr="00664609">
        <w:rPr>
          <w:rFonts w:ascii="Georgia" w:hAnsi="Georgia"/>
        </w:rPr>
        <w:t xml:space="preserve"> and s</w:t>
      </w:r>
      <w:r w:rsidR="000626D2" w:rsidRPr="00664609">
        <w:rPr>
          <w:rFonts w:ascii="Georgia" w:hAnsi="Georgia"/>
        </w:rPr>
        <w:t xml:space="preserve">pecial focus will be given to </w:t>
      </w:r>
      <w:r w:rsidR="00C37BE6" w:rsidRPr="00664609">
        <w:rPr>
          <w:rFonts w:ascii="Georgia" w:hAnsi="Georgia"/>
        </w:rPr>
        <w:t xml:space="preserve">stories by </w:t>
      </w:r>
      <w:r w:rsidR="000626D2" w:rsidRPr="00664609">
        <w:rPr>
          <w:rFonts w:ascii="Georgia" w:hAnsi="Georgia"/>
        </w:rPr>
        <w:t>patient</w:t>
      </w:r>
      <w:r w:rsidR="00C37BE6" w:rsidRPr="00664609">
        <w:rPr>
          <w:rFonts w:ascii="Georgia" w:hAnsi="Georgia"/>
        </w:rPr>
        <w:t>s</w:t>
      </w:r>
      <w:r w:rsidR="000626D2" w:rsidRPr="00664609">
        <w:rPr>
          <w:rFonts w:ascii="Georgia" w:hAnsi="Georgia"/>
        </w:rPr>
        <w:t xml:space="preserve"> and/or </w:t>
      </w:r>
      <w:r w:rsidR="00C37BE6" w:rsidRPr="00664609">
        <w:rPr>
          <w:rFonts w:ascii="Georgia" w:hAnsi="Georgia"/>
        </w:rPr>
        <w:t>their relative</w:t>
      </w:r>
      <w:r w:rsidR="00E473E3" w:rsidRPr="00664609">
        <w:rPr>
          <w:rFonts w:ascii="Georgia" w:hAnsi="Georgia"/>
        </w:rPr>
        <w:t>s</w:t>
      </w:r>
      <w:r w:rsidR="00D90F33" w:rsidRPr="00664609">
        <w:rPr>
          <w:rFonts w:ascii="Georgia" w:hAnsi="Georgia"/>
        </w:rPr>
        <w:t xml:space="preserve">. </w:t>
      </w:r>
      <w:r w:rsidR="00BC36DF" w:rsidRPr="00664609">
        <w:rPr>
          <w:rFonts w:ascii="Georgia" w:hAnsi="Georgia"/>
        </w:rPr>
        <w:t>The following topics are of particular interest</w:t>
      </w:r>
      <w:r w:rsidR="000378E0">
        <w:rPr>
          <w:rFonts w:ascii="Georgia" w:hAnsi="Georgia"/>
        </w:rPr>
        <w:t xml:space="preserve"> but others may also comply</w:t>
      </w:r>
      <w:r w:rsidR="00892F3C" w:rsidRPr="00664609">
        <w:rPr>
          <w:rFonts w:ascii="Georgia" w:hAnsi="Georgia"/>
        </w:rPr>
        <w:t>:</w:t>
      </w:r>
    </w:p>
    <w:p w14:paraId="01C95BBE" w14:textId="41D89D75" w:rsidR="00892F3C" w:rsidRPr="00664609" w:rsidRDefault="00613985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lastRenderedPageBreak/>
        <w:t>Genres of illness narratives (fictional/factual, diaries, autobiographies, letters, blogs, small stories – big narratives, oral – written)</w:t>
      </w:r>
    </w:p>
    <w:p w14:paraId="4230CBE4" w14:textId="29A270B2" w:rsidR="00613985" w:rsidRPr="00664609" w:rsidRDefault="00773E2A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 xml:space="preserve">Gender aspects </w:t>
      </w:r>
    </w:p>
    <w:p w14:paraId="70A308E8" w14:textId="68CD52D1" w:rsidR="00C457DC" w:rsidRPr="00664609" w:rsidRDefault="00C457DC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Intercultural aspects (</w:t>
      </w:r>
      <w:r w:rsidR="00854AB0">
        <w:rPr>
          <w:rFonts w:ascii="Georgia" w:hAnsi="Georgia"/>
        </w:rPr>
        <w:t>e. g. encounters between patients and physicians with different cultural background)</w:t>
      </w:r>
    </w:p>
    <w:p w14:paraId="015C7DA4" w14:textId="65C124FC" w:rsidR="00CE7B76" w:rsidRDefault="00CE7B76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>Intertextual aspects</w:t>
      </w:r>
      <w:r w:rsidR="00CA53A7" w:rsidRPr="00664609">
        <w:rPr>
          <w:rFonts w:ascii="Georgia" w:hAnsi="Georgia"/>
        </w:rPr>
        <w:t xml:space="preserve">, </w:t>
      </w:r>
      <w:r w:rsidR="00280746" w:rsidRPr="00664609">
        <w:rPr>
          <w:rFonts w:ascii="Georgia" w:hAnsi="Georgia"/>
        </w:rPr>
        <w:t xml:space="preserve">metalepsis and/or </w:t>
      </w:r>
      <w:r w:rsidR="000E0A06" w:rsidRPr="00664609">
        <w:rPr>
          <w:rFonts w:ascii="Georgia" w:hAnsi="Georgia"/>
        </w:rPr>
        <w:t>thematic relationshi</w:t>
      </w:r>
      <w:r w:rsidR="009A3440" w:rsidRPr="00664609">
        <w:rPr>
          <w:rFonts w:ascii="Georgia" w:hAnsi="Georgia"/>
        </w:rPr>
        <w:t>ps within patient stories</w:t>
      </w:r>
    </w:p>
    <w:p w14:paraId="3DB4B3B6" w14:textId="0040C440" w:rsidR="00047D2B" w:rsidRPr="00664609" w:rsidRDefault="00047D2B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Readers and the reading of illness narratives</w:t>
      </w:r>
    </w:p>
    <w:p w14:paraId="57CA1D07" w14:textId="035D8B6E" w:rsidR="00352BB8" w:rsidRPr="00664609" w:rsidRDefault="00352BB8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>Relationship(s) between illness (somatic/mental) and writing</w:t>
      </w:r>
    </w:p>
    <w:p w14:paraId="1EAD8F42" w14:textId="1930208D" w:rsidR="00352BB8" w:rsidRDefault="00352BB8" w:rsidP="003B71EC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>Use of narratives in medical practice</w:t>
      </w:r>
    </w:p>
    <w:p w14:paraId="64051895" w14:textId="77777777" w:rsidR="00547A1B" w:rsidRPr="00DD1169" w:rsidRDefault="00547A1B" w:rsidP="00880A65">
      <w:pPr>
        <w:spacing w:line="360" w:lineRule="auto"/>
        <w:jc w:val="both"/>
        <w:rPr>
          <w:rFonts w:ascii="Georgia" w:hAnsi="Georgia"/>
          <w:lang w:val="en-US"/>
        </w:rPr>
      </w:pPr>
    </w:p>
    <w:p w14:paraId="08898D15" w14:textId="3AF4FB1E" w:rsidR="00A64170" w:rsidRPr="00664609" w:rsidRDefault="000626D2" w:rsidP="00880A65">
      <w:p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 xml:space="preserve">The </w:t>
      </w:r>
      <w:r w:rsidR="0047424E">
        <w:rPr>
          <w:rFonts w:ascii="Georgia" w:hAnsi="Georgia"/>
        </w:rPr>
        <w:t>symposium</w:t>
      </w:r>
      <w:r w:rsidRPr="00664609">
        <w:rPr>
          <w:rFonts w:ascii="Georgia" w:hAnsi="Georgia"/>
        </w:rPr>
        <w:t xml:space="preserve"> may be of interest to </w:t>
      </w:r>
      <w:r w:rsidR="005E0915" w:rsidRPr="00664609">
        <w:rPr>
          <w:rFonts w:ascii="Georgia" w:hAnsi="Georgia"/>
        </w:rPr>
        <w:t>researchers</w:t>
      </w:r>
      <w:r w:rsidRPr="00664609">
        <w:rPr>
          <w:rFonts w:ascii="Georgia" w:hAnsi="Georgia"/>
        </w:rPr>
        <w:t xml:space="preserve"> wit</w:t>
      </w:r>
      <w:r w:rsidR="005E0915" w:rsidRPr="00664609">
        <w:rPr>
          <w:rFonts w:ascii="Georgia" w:hAnsi="Georgia"/>
        </w:rPr>
        <w:t>h</w:t>
      </w:r>
      <w:r w:rsidRPr="00664609">
        <w:rPr>
          <w:rFonts w:ascii="Georgia" w:hAnsi="Georgia"/>
        </w:rPr>
        <w:t xml:space="preserve">in the medical humanities, narratology, medical practitioners, </w:t>
      </w:r>
      <w:r w:rsidR="005E0915" w:rsidRPr="00664609">
        <w:rPr>
          <w:rFonts w:ascii="Georgia" w:hAnsi="Georgia"/>
        </w:rPr>
        <w:t xml:space="preserve">literary scholars, </w:t>
      </w:r>
      <w:r w:rsidR="00C37BE6" w:rsidRPr="00664609">
        <w:rPr>
          <w:rFonts w:ascii="Georgia" w:hAnsi="Georgia"/>
        </w:rPr>
        <w:t xml:space="preserve">psychiatric practitioners </w:t>
      </w:r>
      <w:r w:rsidRPr="00664609">
        <w:rPr>
          <w:rFonts w:ascii="Georgia" w:hAnsi="Georgia"/>
        </w:rPr>
        <w:t>and those with an interest in medical history and critical theory.</w:t>
      </w:r>
    </w:p>
    <w:p w14:paraId="46582560" w14:textId="77777777" w:rsidR="00D90F33" w:rsidRPr="00664609" w:rsidRDefault="00D90F33" w:rsidP="00880A65">
      <w:pPr>
        <w:spacing w:line="360" w:lineRule="auto"/>
        <w:jc w:val="both"/>
        <w:rPr>
          <w:rFonts w:ascii="Georgia" w:hAnsi="Georgia"/>
        </w:rPr>
      </w:pPr>
    </w:p>
    <w:p w14:paraId="1FF61C72" w14:textId="7437B496" w:rsidR="005E0915" w:rsidRPr="00664609" w:rsidRDefault="0038387B" w:rsidP="00880A65">
      <w:p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 xml:space="preserve">The </w:t>
      </w:r>
      <w:r w:rsidR="005E0915" w:rsidRPr="00664609">
        <w:rPr>
          <w:rFonts w:ascii="Georgia" w:hAnsi="Georgia"/>
        </w:rPr>
        <w:t>participant</w:t>
      </w:r>
      <w:r w:rsidR="00C37BE6" w:rsidRPr="00664609">
        <w:rPr>
          <w:rFonts w:ascii="Georgia" w:hAnsi="Georgia"/>
        </w:rPr>
        <w:t>s</w:t>
      </w:r>
      <w:r w:rsidR="005E0915" w:rsidRPr="00664609">
        <w:rPr>
          <w:rFonts w:ascii="Georgia" w:hAnsi="Georgia"/>
        </w:rPr>
        <w:t xml:space="preserve"> will be invited to </w:t>
      </w:r>
      <w:r w:rsidR="0096273A">
        <w:rPr>
          <w:rFonts w:ascii="Georgia" w:hAnsi="Georgia"/>
        </w:rPr>
        <w:t>submit</w:t>
      </w:r>
      <w:r w:rsidR="005E0915" w:rsidRPr="00664609">
        <w:rPr>
          <w:rFonts w:ascii="Georgia" w:hAnsi="Georgia"/>
        </w:rPr>
        <w:t xml:space="preserve"> their proceedings </w:t>
      </w:r>
      <w:r w:rsidRPr="00664609">
        <w:rPr>
          <w:rFonts w:ascii="Georgia" w:hAnsi="Georgia"/>
        </w:rPr>
        <w:t xml:space="preserve">in the interdisciplinary </w:t>
      </w:r>
      <w:r w:rsidR="009D337A" w:rsidRPr="00664609">
        <w:rPr>
          <w:rFonts w:ascii="Georgia" w:hAnsi="Georgia"/>
        </w:rPr>
        <w:t xml:space="preserve">peer-reviewed </w:t>
      </w:r>
      <w:r w:rsidRPr="00664609">
        <w:rPr>
          <w:rFonts w:ascii="Georgia" w:hAnsi="Georgia"/>
        </w:rPr>
        <w:t xml:space="preserve">Danish journal “Tidsskrift for </w:t>
      </w:r>
      <w:r w:rsidR="009D337A" w:rsidRPr="00664609">
        <w:rPr>
          <w:rFonts w:ascii="Georgia" w:hAnsi="Georgia"/>
        </w:rPr>
        <w:t>Forskning i S</w:t>
      </w:r>
      <w:r w:rsidRPr="00664609">
        <w:rPr>
          <w:rFonts w:ascii="Georgia" w:hAnsi="Georgia"/>
        </w:rPr>
        <w:t xml:space="preserve">ygdom og </w:t>
      </w:r>
      <w:r w:rsidR="009D337A" w:rsidRPr="00664609">
        <w:rPr>
          <w:rFonts w:ascii="Georgia" w:hAnsi="Georgia"/>
        </w:rPr>
        <w:t>S</w:t>
      </w:r>
      <w:r w:rsidRPr="00664609">
        <w:rPr>
          <w:rFonts w:ascii="Georgia" w:hAnsi="Georgia"/>
        </w:rPr>
        <w:t xml:space="preserve">amfund” (Journal </w:t>
      </w:r>
      <w:r w:rsidR="005E0915" w:rsidRPr="00664609">
        <w:rPr>
          <w:rFonts w:ascii="Georgia" w:hAnsi="Georgia"/>
        </w:rPr>
        <w:t>of</w:t>
      </w:r>
      <w:r w:rsidR="009D337A" w:rsidRPr="00664609">
        <w:rPr>
          <w:rFonts w:ascii="Georgia" w:hAnsi="Georgia"/>
        </w:rPr>
        <w:t xml:space="preserve"> Research in Sickness and</w:t>
      </w:r>
      <w:r w:rsidRPr="00664609">
        <w:rPr>
          <w:rFonts w:ascii="Georgia" w:hAnsi="Georgia"/>
        </w:rPr>
        <w:t xml:space="preserve"> </w:t>
      </w:r>
      <w:r w:rsidR="009D337A" w:rsidRPr="00664609">
        <w:rPr>
          <w:rFonts w:ascii="Georgia" w:hAnsi="Georgia"/>
        </w:rPr>
        <w:t>S</w:t>
      </w:r>
      <w:r w:rsidRPr="00664609">
        <w:rPr>
          <w:rFonts w:ascii="Georgia" w:hAnsi="Georgia"/>
        </w:rPr>
        <w:t>ociety)</w:t>
      </w:r>
      <w:r w:rsidR="005E0915" w:rsidRPr="00664609">
        <w:rPr>
          <w:rFonts w:ascii="Georgia" w:hAnsi="Georgia"/>
        </w:rPr>
        <w:t xml:space="preserve"> autumn 2019</w:t>
      </w:r>
      <w:r w:rsidR="009D337A" w:rsidRPr="00664609">
        <w:rPr>
          <w:rFonts w:ascii="Georgia" w:hAnsi="Georgia"/>
        </w:rPr>
        <w:t>,</w:t>
      </w:r>
      <w:r w:rsidR="005E0915" w:rsidRPr="00664609">
        <w:rPr>
          <w:rFonts w:ascii="Georgia" w:hAnsi="Georgia"/>
        </w:rPr>
        <w:t xml:space="preserve"> </w:t>
      </w:r>
      <w:r w:rsidR="009D337A" w:rsidRPr="00664609">
        <w:rPr>
          <w:rFonts w:ascii="Georgia" w:hAnsi="Georgia"/>
        </w:rPr>
        <w:t>(</w:t>
      </w:r>
      <w:hyperlink r:id="rId7" w:history="1">
        <w:r w:rsidR="009D337A" w:rsidRPr="00664609">
          <w:rPr>
            <w:rStyle w:val="Hyperlnk"/>
            <w:rFonts w:ascii="Georgia" w:hAnsi="Georgia"/>
          </w:rPr>
          <w:t>https://tidsskrift.dk/sygdomogsamfund</w:t>
        </w:r>
      </w:hyperlink>
      <w:r w:rsidR="009D337A" w:rsidRPr="00664609">
        <w:rPr>
          <w:rFonts w:ascii="Georgia" w:hAnsi="Georgia"/>
        </w:rPr>
        <w:t xml:space="preserve">). </w:t>
      </w:r>
      <w:r w:rsidR="00D90F33" w:rsidRPr="00664609">
        <w:rPr>
          <w:rFonts w:ascii="Georgia" w:hAnsi="Georgia"/>
        </w:rPr>
        <w:t>The deadline for submitting the article will be 1</w:t>
      </w:r>
      <w:r w:rsidR="00F77747" w:rsidRPr="00664609">
        <w:rPr>
          <w:rFonts w:ascii="Georgia" w:hAnsi="Georgia"/>
        </w:rPr>
        <w:t xml:space="preserve"> </w:t>
      </w:r>
      <w:r w:rsidR="00D90F33" w:rsidRPr="00664609">
        <w:rPr>
          <w:rFonts w:ascii="Georgia" w:hAnsi="Georgia"/>
        </w:rPr>
        <w:t>November 2018.</w:t>
      </w:r>
    </w:p>
    <w:p w14:paraId="3E9E9E6E" w14:textId="77777777" w:rsidR="00D90F33" w:rsidRPr="00664609" w:rsidRDefault="00D90F33" w:rsidP="00880A65">
      <w:pPr>
        <w:spacing w:line="360" w:lineRule="auto"/>
        <w:jc w:val="both"/>
        <w:rPr>
          <w:rFonts w:ascii="Georgia" w:hAnsi="Georgia"/>
        </w:rPr>
      </w:pPr>
    </w:p>
    <w:p w14:paraId="36FA36D8" w14:textId="721D1CE5" w:rsidR="00F77747" w:rsidRPr="00664609" w:rsidRDefault="005E0915" w:rsidP="00880A65">
      <w:pPr>
        <w:spacing w:line="360" w:lineRule="auto"/>
        <w:jc w:val="both"/>
        <w:rPr>
          <w:rFonts w:ascii="Georgia" w:hAnsi="Georgia"/>
        </w:rPr>
      </w:pPr>
      <w:r w:rsidRPr="00664609">
        <w:rPr>
          <w:rFonts w:ascii="Georgia" w:hAnsi="Georgia"/>
        </w:rPr>
        <w:t xml:space="preserve">Proposals for 20 minute lectures in the form of abstracts (300 words) can be submitted by the </w:t>
      </w:r>
      <w:r w:rsidR="00352BB8" w:rsidRPr="00664609">
        <w:rPr>
          <w:rFonts w:ascii="Georgia" w:hAnsi="Georgia"/>
        </w:rPr>
        <w:t>d</w:t>
      </w:r>
      <w:r w:rsidRPr="00664609">
        <w:rPr>
          <w:rFonts w:ascii="Georgia" w:hAnsi="Georgia"/>
        </w:rPr>
        <w:t>eadline 1</w:t>
      </w:r>
      <w:r w:rsidR="00F77747" w:rsidRPr="00664609">
        <w:rPr>
          <w:rFonts w:ascii="Georgia" w:hAnsi="Georgia"/>
        </w:rPr>
        <w:t xml:space="preserve"> </w:t>
      </w:r>
      <w:r w:rsidRPr="00664609">
        <w:rPr>
          <w:rFonts w:ascii="Georgia" w:hAnsi="Georgia"/>
        </w:rPr>
        <w:t>March 2018</w:t>
      </w:r>
      <w:r w:rsidR="00F77747" w:rsidRPr="00664609">
        <w:rPr>
          <w:rFonts w:ascii="Georgia" w:hAnsi="Georgia"/>
        </w:rPr>
        <w:t xml:space="preserve"> per e-mail </w:t>
      </w:r>
      <w:r w:rsidR="009D337A" w:rsidRPr="00664609">
        <w:rPr>
          <w:rFonts w:ascii="Georgia" w:hAnsi="Georgia"/>
        </w:rPr>
        <w:t xml:space="preserve">to </w:t>
      </w:r>
      <w:hyperlink r:id="rId8" w:history="1">
        <w:r w:rsidR="00F77747" w:rsidRPr="00664609">
          <w:rPr>
            <w:rStyle w:val="Hyperlnk"/>
            <w:rFonts w:ascii="Georgia" w:hAnsi="Georgia"/>
          </w:rPr>
          <w:t>marie-theres.federhofer@uit.no</w:t>
        </w:r>
      </w:hyperlink>
      <w:r w:rsidR="00F77747" w:rsidRPr="00664609">
        <w:rPr>
          <w:rFonts w:ascii="Georgia" w:hAnsi="Georgia"/>
        </w:rPr>
        <w:t xml:space="preserve"> and </w:t>
      </w:r>
      <w:hyperlink r:id="rId9" w:history="1">
        <w:r w:rsidR="00F77747" w:rsidRPr="00664609">
          <w:rPr>
            <w:rStyle w:val="Hyperlnk"/>
            <w:rFonts w:ascii="Georgia" w:hAnsi="Georgia"/>
          </w:rPr>
          <w:t>linda.nesby@uit.no</w:t>
        </w:r>
      </w:hyperlink>
      <w:r w:rsidRPr="00664609">
        <w:rPr>
          <w:rFonts w:ascii="Georgia" w:hAnsi="Georgia"/>
        </w:rPr>
        <w:t>.</w:t>
      </w:r>
    </w:p>
    <w:p w14:paraId="7F65DFBE" w14:textId="77777777" w:rsidR="009A3440" w:rsidRPr="00664609" w:rsidRDefault="009A3440" w:rsidP="00880A65">
      <w:pPr>
        <w:spacing w:line="360" w:lineRule="auto"/>
        <w:jc w:val="both"/>
        <w:rPr>
          <w:rFonts w:ascii="Georgia" w:hAnsi="Georgia"/>
        </w:rPr>
      </w:pPr>
    </w:p>
    <w:p w14:paraId="5E2A3FBA" w14:textId="15DBA5DA" w:rsidR="00CE0D3B" w:rsidRPr="00664609" w:rsidRDefault="00CE0D3B" w:rsidP="009D337A">
      <w:pPr>
        <w:jc w:val="both"/>
        <w:rPr>
          <w:rFonts w:ascii="Georgia" w:hAnsi="Georgia"/>
          <w:b/>
        </w:rPr>
      </w:pPr>
      <w:r w:rsidRPr="00664609">
        <w:rPr>
          <w:rFonts w:ascii="Georgia" w:hAnsi="Georgia"/>
          <w:b/>
        </w:rPr>
        <w:t>Bibliography</w:t>
      </w:r>
    </w:p>
    <w:p w14:paraId="2DB5787B" w14:textId="77777777" w:rsidR="00CE56BC" w:rsidRPr="00664609" w:rsidRDefault="00CE56BC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778D2E57" w14:textId="2DE38BC2" w:rsidR="0031613F" w:rsidRPr="00664609" w:rsidRDefault="0031613F" w:rsidP="009D337A">
      <w:pPr>
        <w:rPr>
          <w:rFonts w:ascii="Georgia" w:eastAsia="Times New Roman" w:hAnsi="Georgia"/>
        </w:rPr>
      </w:pPr>
      <w:r w:rsidRPr="00664609">
        <w:rPr>
          <w:rFonts w:ascii="Georgia" w:eastAsia="Times New Roman" w:hAnsi="Georgia"/>
          <w:color w:val="000000"/>
          <w:shd w:val="clear" w:color="auto" w:fill="FFFFFF"/>
        </w:rPr>
        <w:t>Charon, R. (2006).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Narrative medicine</w:t>
      </w:r>
      <w:r w:rsidR="00047D2B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.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 xml:space="preserve"> Honoring the stories of illness</w:t>
      </w:r>
      <w:r w:rsidRPr="00664609">
        <w:rPr>
          <w:rFonts w:ascii="Georgia" w:eastAsia="Times New Roman" w:hAnsi="Georgia"/>
          <w:color w:val="000000"/>
          <w:shd w:val="clear" w:color="auto" w:fill="FFFFFF"/>
        </w:rPr>
        <w:t>. Oxford: Oxford University Press.</w:t>
      </w:r>
    </w:p>
    <w:p w14:paraId="04539D3C" w14:textId="77777777" w:rsidR="00CE56BC" w:rsidRPr="00664609" w:rsidRDefault="00CE56BC" w:rsidP="009D337A">
      <w:pPr>
        <w:rPr>
          <w:rFonts w:ascii="Georgia" w:eastAsia="Times New Roman" w:hAnsi="Georgia"/>
          <w:color w:val="303030"/>
          <w:shd w:val="clear" w:color="auto" w:fill="FFFFFF"/>
        </w:rPr>
      </w:pPr>
    </w:p>
    <w:p w14:paraId="22E69E4C" w14:textId="77777777" w:rsidR="00CE56BC" w:rsidRPr="00664609" w:rsidRDefault="00CE56BC" w:rsidP="009D337A">
      <w:pPr>
        <w:rPr>
          <w:rFonts w:ascii="Georgia" w:eastAsia="Times New Roman" w:hAnsi="Georgia"/>
        </w:rPr>
      </w:pPr>
      <w:r w:rsidRPr="00664609">
        <w:rPr>
          <w:rFonts w:ascii="Georgia" w:eastAsia="Times New Roman" w:hAnsi="Georgia"/>
          <w:color w:val="303030"/>
          <w:shd w:val="clear" w:color="auto" w:fill="FFFFFF"/>
        </w:rPr>
        <w:t>Charon, R. (2007). What to do with stories: The sciences of narrative medicine. </w:t>
      </w:r>
      <w:r w:rsidRPr="00664609">
        <w:rPr>
          <w:rFonts w:ascii="Georgia" w:eastAsia="Times New Roman" w:hAnsi="Georgia"/>
          <w:i/>
          <w:iCs/>
          <w:color w:val="303030"/>
          <w:shd w:val="clear" w:color="auto" w:fill="FFFFFF"/>
        </w:rPr>
        <w:t>Canadian Family Physician</w:t>
      </w:r>
      <w:r w:rsidRPr="00664609">
        <w:rPr>
          <w:rFonts w:ascii="Georgia" w:eastAsia="Times New Roman" w:hAnsi="Georgia"/>
          <w:color w:val="303030"/>
          <w:shd w:val="clear" w:color="auto" w:fill="FFFFFF"/>
        </w:rPr>
        <w:t>, </w:t>
      </w:r>
      <w:r w:rsidRPr="00664609">
        <w:rPr>
          <w:rFonts w:ascii="Georgia" w:eastAsia="Times New Roman" w:hAnsi="Georgia"/>
          <w:i/>
          <w:iCs/>
          <w:color w:val="303030"/>
          <w:shd w:val="clear" w:color="auto" w:fill="FFFFFF"/>
        </w:rPr>
        <w:t>53</w:t>
      </w:r>
      <w:r w:rsidRPr="00664609">
        <w:rPr>
          <w:rFonts w:ascii="Georgia" w:eastAsia="Times New Roman" w:hAnsi="Georgia"/>
          <w:color w:val="303030"/>
          <w:shd w:val="clear" w:color="auto" w:fill="FFFFFF"/>
        </w:rPr>
        <w:t>(8), 1265–1267.</w:t>
      </w:r>
    </w:p>
    <w:p w14:paraId="70E3F45E" w14:textId="77777777" w:rsidR="006D6D34" w:rsidRPr="00664609" w:rsidRDefault="006D6D34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184232F5" w14:textId="0A69CB66" w:rsidR="00EF6060" w:rsidRPr="00664609" w:rsidRDefault="00EF6060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  <w:r w:rsidRPr="00664609">
        <w:rPr>
          <w:rFonts w:ascii="Georgia" w:hAnsi="Georgia" w:cs="Times New Roman"/>
          <w:sz w:val="24"/>
          <w:szCs w:val="24"/>
          <w:lang w:val="en-GB"/>
        </w:rPr>
        <w:t>Daniel, S. (1986). The patient as text: A model of clinical hermeneutics.</w:t>
      </w:r>
      <w:r w:rsidRPr="00664609">
        <w:rPr>
          <w:rStyle w:val="apple-converted-space"/>
          <w:rFonts w:ascii="Georgia" w:hAnsi="Georgia" w:cs="Times New Roman"/>
          <w:sz w:val="24"/>
          <w:szCs w:val="24"/>
          <w:lang w:val="en-GB"/>
        </w:rPr>
        <w:t> </w:t>
      </w:r>
      <w:r w:rsidRPr="00664609">
        <w:rPr>
          <w:rFonts w:ascii="Georgia" w:hAnsi="Georgia" w:cs="Times New Roman"/>
          <w:sz w:val="24"/>
          <w:szCs w:val="24"/>
          <w:lang w:val="en-GB"/>
        </w:rPr>
        <w:t>Theoretical Medicine,</w:t>
      </w:r>
      <w:r w:rsidRPr="00664609">
        <w:rPr>
          <w:rStyle w:val="apple-converted-space"/>
          <w:rFonts w:ascii="Georgia" w:hAnsi="Georgia" w:cs="Times New Roman"/>
          <w:sz w:val="24"/>
          <w:szCs w:val="24"/>
          <w:lang w:val="en-GB"/>
        </w:rPr>
        <w:t> </w:t>
      </w:r>
      <w:r w:rsidRPr="00664609">
        <w:rPr>
          <w:rFonts w:ascii="Georgia" w:hAnsi="Georgia" w:cs="Times New Roman"/>
          <w:sz w:val="24"/>
          <w:szCs w:val="24"/>
          <w:lang w:val="en-GB"/>
        </w:rPr>
        <w:t>7(2), 195-210.</w:t>
      </w:r>
    </w:p>
    <w:p w14:paraId="17ACBCF5" w14:textId="6EB13E4A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75D4FB05" w14:textId="77777777" w:rsidR="00F77747" w:rsidRPr="008D45EF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lang w:val="de-DE"/>
        </w:rPr>
      </w:pPr>
      <w:r w:rsidRPr="00664609">
        <w:rPr>
          <w:rFonts w:ascii="Georgia" w:hAnsi="Georgia"/>
          <w:lang w:val="de-DE"/>
        </w:rPr>
        <w:t xml:space="preserve">Condrau, Flurin (2007): „The Patient’s View Meets the Clinical Gaze.“ </w:t>
      </w:r>
      <w:r w:rsidRPr="00664609">
        <w:rPr>
          <w:rFonts w:ascii="Georgia" w:hAnsi="Georgia"/>
          <w:i/>
          <w:lang w:val="de-DE"/>
        </w:rPr>
        <w:t xml:space="preserve">Social History of Medicine </w:t>
      </w:r>
      <w:r w:rsidRPr="00664609">
        <w:rPr>
          <w:rFonts w:ascii="Georgia" w:hAnsi="Georgia"/>
          <w:lang w:val="de-DE"/>
        </w:rPr>
        <w:t>20/3, 525-540.</w:t>
      </w:r>
    </w:p>
    <w:p w14:paraId="06AED339" w14:textId="77777777" w:rsidR="00F77747" w:rsidRPr="008D45EF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lang w:val="de-DE"/>
        </w:rPr>
      </w:pPr>
      <w:r w:rsidRPr="008D45EF">
        <w:rPr>
          <w:rFonts w:ascii="Georgia" w:hAnsi="Georgia" w:cs="Times"/>
          <w:color w:val="000000"/>
          <w:lang w:val="de-DE"/>
        </w:rPr>
        <w:t xml:space="preserve">Engelhardt, Dietrich von (2002): ”Pathographie – historische Entwicklung, zentrale Dimensionen”, </w:t>
      </w:r>
      <w:r w:rsidRPr="008D45EF">
        <w:rPr>
          <w:rFonts w:ascii="Georgia" w:hAnsi="Georgia" w:cs="Times"/>
          <w:i/>
          <w:color w:val="000000"/>
          <w:lang w:val="de-DE"/>
        </w:rPr>
        <w:t>Heidelberger Jahrbuch</w:t>
      </w:r>
      <w:r w:rsidRPr="008D45EF">
        <w:rPr>
          <w:rFonts w:ascii="Georgia" w:hAnsi="Georgia" w:cs="Times"/>
          <w:color w:val="000000"/>
          <w:lang w:val="de-DE"/>
        </w:rPr>
        <w:t xml:space="preserve"> 46, 199-212.</w:t>
      </w:r>
    </w:p>
    <w:p w14:paraId="7BE9F477" w14:textId="77777777" w:rsidR="00F77747" w:rsidRPr="00664609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/>
          <w:color w:val="000000"/>
          <w:lang w:val="de-DE"/>
        </w:rPr>
      </w:pPr>
      <w:r w:rsidRPr="0096273A">
        <w:rPr>
          <w:rFonts w:ascii="Georgia" w:hAnsi="Georgia"/>
          <w:lang w:val="da-DK"/>
        </w:rPr>
        <w:t xml:space="preserve">Ernst, Katharina (1999): </w:t>
      </w:r>
      <w:r w:rsidRPr="00664609">
        <w:rPr>
          <w:rFonts w:ascii="Georgia" w:hAnsi="Georgia"/>
          <w:lang w:val="de-DE"/>
        </w:rPr>
        <w:t xml:space="preserve">„Patientengeschichte. Die kulturhistorische Wende in der Medizinhistoriographie“. In: Ralf Bröer (ed.), </w:t>
      </w:r>
      <w:r w:rsidRPr="00664609">
        <w:rPr>
          <w:rFonts w:ascii="Georgia" w:hAnsi="Georgia"/>
          <w:i/>
          <w:lang w:val="de-DE"/>
        </w:rPr>
        <w:t>Eine Wissenschaft emanzipiert sich. Die Medizinhistoriographie von der Aufklärung bis zur Postmoderne</w:t>
      </w:r>
      <w:r w:rsidRPr="00664609">
        <w:rPr>
          <w:rFonts w:ascii="Georgia" w:hAnsi="Georgia"/>
          <w:lang w:val="de-DE"/>
        </w:rPr>
        <w:t>. Pfaffenweiler: Centaurus, 97-108.</w:t>
      </w:r>
    </w:p>
    <w:p w14:paraId="5954735D" w14:textId="4D893975" w:rsidR="00F77747" w:rsidRPr="008D45EF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/>
          <w:color w:val="000000"/>
          <w:lang w:val="de-DE"/>
        </w:rPr>
      </w:pPr>
      <w:r w:rsidRPr="00664609">
        <w:rPr>
          <w:rFonts w:ascii="Georgia" w:hAnsi="Georgia"/>
          <w:color w:val="000000"/>
          <w:lang w:val="de-DE"/>
        </w:rPr>
        <w:t xml:space="preserve">Federhofer, Marie-Theres (2017): ”So geht denn ein Schmerzenstag nach dem andern hin.” </w:t>
      </w:r>
      <w:r w:rsidRPr="008D45EF">
        <w:rPr>
          <w:rFonts w:ascii="Georgia" w:hAnsi="Georgia"/>
          <w:color w:val="000000"/>
          <w:lang w:val="de-DE"/>
        </w:rPr>
        <w:t xml:space="preserve">Krankheitserfahrungen in zwei Frauentagebüchern des 19. Jahrhunderts” </w:t>
      </w:r>
      <w:r w:rsidRPr="008D45EF">
        <w:rPr>
          <w:rFonts w:ascii="Georgia" w:hAnsi="Georgia"/>
          <w:i/>
          <w:color w:val="000000"/>
          <w:lang w:val="de-DE"/>
        </w:rPr>
        <w:t>Diegesis</w:t>
      </w:r>
      <w:r w:rsidRPr="008D45EF">
        <w:rPr>
          <w:rFonts w:ascii="Georgia" w:hAnsi="Georgia"/>
          <w:color w:val="000000"/>
          <w:lang w:val="de-DE"/>
        </w:rPr>
        <w:t xml:space="preserve"> 6,2.</w:t>
      </w:r>
    </w:p>
    <w:p w14:paraId="55DAD191" w14:textId="77777777" w:rsidR="00F77747" w:rsidRPr="00664609" w:rsidRDefault="00F77747" w:rsidP="009D337A">
      <w:pPr>
        <w:rPr>
          <w:rFonts w:ascii="Georgia" w:eastAsia="Times New Roman" w:hAnsi="Georgia"/>
        </w:rPr>
      </w:pPr>
      <w:r w:rsidRPr="008D45EF">
        <w:rPr>
          <w:rFonts w:ascii="Georgia" w:eastAsia="Times New Roman" w:hAnsi="Georgia"/>
          <w:color w:val="000000"/>
          <w:shd w:val="clear" w:color="auto" w:fill="FFFFFF"/>
          <w:lang w:val="de-DE"/>
        </w:rPr>
        <w:t>Felski, R. (2008).</w:t>
      </w:r>
      <w:r w:rsidRPr="008D45EF">
        <w:rPr>
          <w:rStyle w:val="apple-converted-space"/>
          <w:rFonts w:ascii="Georgia" w:eastAsia="Times New Roman" w:hAnsi="Georgia"/>
          <w:color w:val="000000"/>
          <w:shd w:val="clear" w:color="auto" w:fill="FFFFFF"/>
          <w:lang w:val="de-DE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Uses of literature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color w:val="000000"/>
          <w:shd w:val="clear" w:color="auto" w:fill="FFFFFF"/>
        </w:rPr>
        <w:t>(Blackwell manifestos). Malden, Mass: Blackwell Pub.</w:t>
      </w:r>
    </w:p>
    <w:p w14:paraId="1412AB9C" w14:textId="77777777" w:rsidR="00620D79" w:rsidRPr="00664609" w:rsidRDefault="00620D79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36211CF6" w14:textId="77777777" w:rsidR="00FB3E41" w:rsidRPr="00664609" w:rsidRDefault="008B1919" w:rsidP="00FB3E41">
      <w:pPr>
        <w:rPr>
          <w:rFonts w:ascii="Georgia" w:eastAsia="Times New Roman" w:hAnsi="Georgia"/>
          <w:color w:val="000000"/>
          <w:shd w:val="clear" w:color="auto" w:fill="FFFFFF"/>
        </w:rPr>
      </w:pPr>
      <w:r w:rsidRPr="00664609">
        <w:rPr>
          <w:rFonts w:ascii="Georgia" w:eastAsia="Times New Roman" w:hAnsi="Georgia"/>
          <w:color w:val="000000"/>
          <w:shd w:val="clear" w:color="auto" w:fill="FFFFFF"/>
        </w:rPr>
        <w:t>Hawkins, A. (1999).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Reconstructing Illness: Studies in Pathography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color w:val="000000"/>
          <w:shd w:val="clear" w:color="auto" w:fill="FFFFFF"/>
        </w:rPr>
        <w:t>(2nd ed.). West Lafayette, Ind: Purdue University Press.</w:t>
      </w:r>
    </w:p>
    <w:p w14:paraId="3F09EFCA" w14:textId="45CE5E27" w:rsidR="00F77747" w:rsidRPr="00664609" w:rsidRDefault="00F77747" w:rsidP="00FB3E41">
      <w:pPr>
        <w:rPr>
          <w:rFonts w:ascii="Georgia" w:eastAsia="Times New Roman" w:hAnsi="Georgia"/>
          <w:color w:val="000000"/>
          <w:shd w:val="clear" w:color="auto" w:fill="FFFFFF"/>
        </w:rPr>
      </w:pPr>
    </w:p>
    <w:p w14:paraId="2921F2D1" w14:textId="68C5FD8F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  <w:r w:rsidRPr="00664609">
        <w:rPr>
          <w:rFonts w:ascii="Georgia" w:hAnsi="Georgia" w:cs="Times New Roman"/>
          <w:sz w:val="24"/>
          <w:szCs w:val="24"/>
          <w:lang w:val="en-GB"/>
        </w:rPr>
        <w:t>Kottow, M., &amp; Kottow, A. (2002). Literary narrative in medical practice. (Original Article). Medical Humanities, 28(1), 41.</w:t>
      </w:r>
    </w:p>
    <w:p w14:paraId="0E9D3B0F" w14:textId="77777777" w:rsidR="009D337A" w:rsidRPr="00664609" w:rsidRDefault="009D337A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7B40EC39" w14:textId="41482235" w:rsidR="00F77747" w:rsidRPr="00664609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/>
          <w:color w:val="000000"/>
          <w:lang w:val="nb-NO"/>
        </w:rPr>
      </w:pPr>
      <w:r w:rsidRPr="00664609">
        <w:rPr>
          <w:rFonts w:ascii="Georgia" w:hAnsi="Georgia"/>
          <w:color w:val="000000"/>
        </w:rPr>
        <w:t xml:space="preserve">Meister, Jan Christoph/Kindt, Tom/Schernus, Wilhelm (eds.) (2005): </w:t>
      </w:r>
      <w:r w:rsidRPr="00664609">
        <w:rPr>
          <w:rFonts w:ascii="Georgia" w:hAnsi="Georgia"/>
          <w:i/>
          <w:iCs/>
          <w:color w:val="000000"/>
        </w:rPr>
        <w:t>Narratology beyond literary criticism</w:t>
      </w:r>
      <w:r w:rsidRPr="00664609">
        <w:rPr>
          <w:rFonts w:ascii="Georgia" w:hAnsi="Georgia"/>
          <w:color w:val="000000"/>
        </w:rPr>
        <w:t xml:space="preserve">. </w:t>
      </w:r>
      <w:r w:rsidRPr="00664609">
        <w:rPr>
          <w:rFonts w:ascii="Georgia" w:hAnsi="Georgia"/>
          <w:color w:val="000000"/>
          <w:lang w:val="nb-NO"/>
        </w:rPr>
        <w:t>Berlin: de Gruyter.</w:t>
      </w:r>
    </w:p>
    <w:p w14:paraId="65633ED4" w14:textId="77777777" w:rsidR="009D337A" w:rsidRPr="00664609" w:rsidRDefault="00F77747" w:rsidP="009D337A">
      <w:pPr>
        <w:rPr>
          <w:rFonts w:ascii="Georgia" w:hAnsi="Georgia"/>
          <w:color w:val="000000"/>
          <w:lang w:val="nb-NO"/>
        </w:rPr>
      </w:pPr>
      <w:r w:rsidRPr="00664609">
        <w:rPr>
          <w:rFonts w:ascii="Georgia" w:hAnsi="Georgia"/>
          <w:color w:val="000000"/>
          <w:lang w:val="nb-NO"/>
        </w:rPr>
        <w:t>Nesby, Linda H. (2016) ”</w:t>
      </w:r>
      <w:r w:rsidRPr="00664609">
        <w:rPr>
          <w:rFonts w:ascii="Georgia" w:hAnsi="Georgia"/>
          <w:i/>
          <w:iCs/>
          <w:color w:val="000000"/>
          <w:lang w:val="nb-NO"/>
        </w:rPr>
        <w:t xml:space="preserve">På gjengrodde stier </w:t>
      </w:r>
      <w:r w:rsidRPr="00664609">
        <w:rPr>
          <w:rFonts w:ascii="Georgia" w:hAnsi="Georgia"/>
          <w:color w:val="000000"/>
          <w:lang w:val="nb-NO"/>
        </w:rPr>
        <w:t xml:space="preserve">(1949). Pasienten som forteller”, </w:t>
      </w:r>
      <w:r w:rsidRPr="00664609">
        <w:rPr>
          <w:rFonts w:ascii="Georgia" w:hAnsi="Georgia"/>
          <w:i/>
          <w:iCs/>
          <w:color w:val="000000"/>
          <w:lang w:val="nb-NO"/>
        </w:rPr>
        <w:t xml:space="preserve">Nordlit </w:t>
      </w:r>
      <w:r w:rsidRPr="00664609">
        <w:rPr>
          <w:rFonts w:ascii="Georgia" w:hAnsi="Georgia"/>
          <w:color w:val="000000"/>
          <w:lang w:val="nb-NO"/>
        </w:rPr>
        <w:t>38.</w:t>
      </w:r>
    </w:p>
    <w:p w14:paraId="7DBD4AB2" w14:textId="77777777" w:rsidR="00FB3E41" w:rsidRPr="00664609" w:rsidRDefault="00FB3E41" w:rsidP="009D337A">
      <w:pPr>
        <w:rPr>
          <w:rFonts w:ascii="Georgia" w:hAnsi="Georgia"/>
          <w:color w:val="000000"/>
          <w:lang w:val="nb-NO"/>
        </w:rPr>
      </w:pPr>
    </w:p>
    <w:p w14:paraId="61E7910A" w14:textId="54CBFE63" w:rsidR="00FB3E41" w:rsidRPr="00DD1169" w:rsidRDefault="00FB3E41" w:rsidP="009D337A">
      <w:pPr>
        <w:rPr>
          <w:rFonts w:ascii="Georgia" w:eastAsia="Times New Roman" w:hAnsi="Georgia"/>
          <w:lang w:val="nb-NO"/>
        </w:rPr>
      </w:pPr>
      <w:r w:rsidRPr="0096273A">
        <w:rPr>
          <w:rFonts w:ascii="Georgia" w:eastAsia="Times New Roman" w:hAnsi="Georgia"/>
          <w:color w:val="000000"/>
          <w:shd w:val="clear" w:color="auto" w:fill="FFFFFF"/>
          <w:lang w:val="da-DK"/>
        </w:rPr>
        <w:t xml:space="preserve">Nesby, L., &amp; Salamonsen, A. (2016). </w:t>
      </w:r>
      <w:r w:rsidRPr="00664609">
        <w:rPr>
          <w:rFonts w:ascii="Georgia" w:eastAsia="Times New Roman" w:hAnsi="Georgia"/>
          <w:color w:val="000000"/>
          <w:shd w:val="clear" w:color="auto" w:fill="FFFFFF"/>
        </w:rPr>
        <w:t>Youth blogging and serious illness.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DD1169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nb-NO"/>
        </w:rPr>
        <w:t>Medical Humanities,</w:t>
      </w:r>
      <w:r w:rsidRPr="00DD1169">
        <w:rPr>
          <w:rStyle w:val="apple-converted-space"/>
          <w:rFonts w:ascii="Georgia" w:eastAsia="Times New Roman" w:hAnsi="Georgia"/>
          <w:color w:val="000000"/>
          <w:shd w:val="clear" w:color="auto" w:fill="FFFFFF"/>
          <w:lang w:val="nb-NO"/>
        </w:rPr>
        <w:t> </w:t>
      </w:r>
      <w:r w:rsidRPr="00DD1169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nb-NO"/>
        </w:rPr>
        <w:t>42</w:t>
      </w:r>
      <w:r w:rsidRPr="00DD1169">
        <w:rPr>
          <w:rFonts w:ascii="Georgia" w:eastAsia="Times New Roman" w:hAnsi="Georgia"/>
          <w:color w:val="000000"/>
          <w:shd w:val="clear" w:color="auto" w:fill="FFFFFF"/>
          <w:lang w:val="nb-NO"/>
        </w:rPr>
        <w:t>(1), 46-51.</w:t>
      </w:r>
    </w:p>
    <w:p w14:paraId="35169A49" w14:textId="77777777" w:rsidR="00266030" w:rsidRPr="00664609" w:rsidRDefault="00266030" w:rsidP="009D337A">
      <w:pPr>
        <w:rPr>
          <w:rFonts w:ascii="Georgia" w:hAnsi="Georgia"/>
          <w:color w:val="000000"/>
          <w:lang w:val="nb-NO"/>
        </w:rPr>
      </w:pPr>
    </w:p>
    <w:p w14:paraId="0614888D" w14:textId="77777777" w:rsidR="00266030" w:rsidRPr="00664609" w:rsidRDefault="00F77747" w:rsidP="00266030">
      <w:pPr>
        <w:rPr>
          <w:rFonts w:ascii="Georgia" w:hAnsi="Georgia"/>
          <w:color w:val="000000"/>
          <w:lang w:val="de-DE"/>
        </w:rPr>
      </w:pPr>
      <w:r w:rsidRPr="00664609">
        <w:rPr>
          <w:rFonts w:ascii="Georgia" w:hAnsi="Georgia"/>
          <w:lang w:val="de-DE"/>
        </w:rPr>
        <w:t xml:space="preserve">Nolte, Karen (2009): „Das Verschwinden der Laienperspektive aus der Krankengeschichte: Medizinische Fallberichte im 19. Jahrhundert.“ In: Sibylle Brändli-Blumenbach et al. (eds.), </w:t>
      </w:r>
      <w:r w:rsidRPr="00664609">
        <w:rPr>
          <w:rFonts w:ascii="Georgia" w:hAnsi="Georgia"/>
          <w:i/>
          <w:lang w:val="de-DE"/>
        </w:rPr>
        <w:t>Zum Fall machen, zum Fall werden. Wissensproduktion und Patientenerfahrung in Medizin und Psychiatrie des 19. und 20. Jahrhunderts</w:t>
      </w:r>
      <w:r w:rsidRPr="00664609">
        <w:rPr>
          <w:rFonts w:ascii="Georgia" w:hAnsi="Georgia"/>
          <w:lang w:val="de-DE"/>
        </w:rPr>
        <w:t>. Frankfurt a.M. / New York: Campus, 33-61.</w:t>
      </w:r>
      <w:r w:rsidR="00266030" w:rsidRPr="00664609">
        <w:rPr>
          <w:rFonts w:ascii="Georgia" w:hAnsi="Georgia"/>
          <w:color w:val="000000"/>
          <w:lang w:val="de-DE"/>
        </w:rPr>
        <w:t xml:space="preserve"> </w:t>
      </w:r>
    </w:p>
    <w:p w14:paraId="552F9166" w14:textId="77777777" w:rsidR="00266030" w:rsidRPr="00664609" w:rsidRDefault="00266030" w:rsidP="00266030">
      <w:pPr>
        <w:rPr>
          <w:rFonts w:ascii="Georgia" w:hAnsi="Georgia"/>
          <w:color w:val="000000"/>
          <w:lang w:val="de-DE"/>
        </w:rPr>
      </w:pPr>
    </w:p>
    <w:p w14:paraId="175706FA" w14:textId="3A60BE5F" w:rsidR="00F77747" w:rsidRPr="00664609" w:rsidRDefault="00F77747" w:rsidP="00266030">
      <w:pPr>
        <w:rPr>
          <w:rFonts w:ascii="Georgia" w:eastAsia="Times New Roman" w:hAnsi="Georgia"/>
        </w:rPr>
      </w:pPr>
      <w:r w:rsidRPr="00664609">
        <w:rPr>
          <w:rFonts w:ascii="Georgia" w:hAnsi="Georgia"/>
          <w:lang w:val="de-DE"/>
        </w:rPr>
        <w:t xml:space="preserve">Podnieks, Elisabeth (2016): „Celebrity bio blogs: </w:t>
      </w:r>
      <w:r w:rsidRPr="00664609">
        <w:rPr>
          <w:rFonts w:ascii="Georgia" w:eastAsia="Times New Roman" w:hAnsi="Georgia"/>
        </w:rPr>
        <w:t xml:space="preserve">hagiography, pathography, and Perez Hilton” In: Chansky, Ricia Anne/Hipchen, Emily (eds.), </w:t>
      </w:r>
      <w:r w:rsidRPr="00664609">
        <w:rPr>
          <w:rFonts w:ascii="Georgia" w:eastAsia="Times New Roman" w:hAnsi="Georgia"/>
          <w:i/>
        </w:rPr>
        <w:t>The Routledge autobiography studies reader.</w:t>
      </w:r>
      <w:r w:rsidRPr="00664609">
        <w:rPr>
          <w:rFonts w:ascii="Georgia" w:eastAsia="Times New Roman" w:hAnsi="Georgia"/>
        </w:rPr>
        <w:t xml:space="preserve"> London, New York: Routledge, 308-315.</w:t>
      </w:r>
    </w:p>
    <w:p w14:paraId="2C741BD4" w14:textId="77777777" w:rsidR="00266030" w:rsidRPr="00664609" w:rsidRDefault="00266030" w:rsidP="00266030">
      <w:pPr>
        <w:rPr>
          <w:rFonts w:ascii="Georgia" w:hAnsi="Georgia"/>
          <w:color w:val="000000"/>
          <w:lang w:val="en-US"/>
        </w:rPr>
      </w:pPr>
    </w:p>
    <w:p w14:paraId="00B35501" w14:textId="357B2385" w:rsidR="00F77747" w:rsidRPr="00664609" w:rsidRDefault="00F77747" w:rsidP="009D337A">
      <w:pPr>
        <w:widowControl w:val="0"/>
        <w:autoSpaceDE w:val="0"/>
        <w:autoSpaceDN w:val="0"/>
        <w:adjustRightInd w:val="0"/>
        <w:spacing w:after="240"/>
        <w:rPr>
          <w:rFonts w:ascii="Georgia" w:hAnsi="Georgia"/>
          <w:lang w:val="de-DE"/>
        </w:rPr>
      </w:pPr>
      <w:r w:rsidRPr="00664609">
        <w:rPr>
          <w:rFonts w:ascii="Georgia" w:hAnsi="Georgia"/>
          <w:lang w:val="de-DE"/>
        </w:rPr>
        <w:t xml:space="preserve">Porter, Roy (1985): „The Patient’s View. Doing Medical History from below“, </w:t>
      </w:r>
      <w:r w:rsidRPr="00664609">
        <w:rPr>
          <w:rFonts w:ascii="Georgia" w:hAnsi="Georgia"/>
          <w:i/>
          <w:lang w:val="de-DE"/>
        </w:rPr>
        <w:t>Theory and Society</w:t>
      </w:r>
      <w:r w:rsidRPr="00664609">
        <w:rPr>
          <w:rFonts w:ascii="Georgia" w:hAnsi="Georgia"/>
          <w:lang w:val="de-DE"/>
        </w:rPr>
        <w:t xml:space="preserve"> 14/ 2, 175-198.</w:t>
      </w:r>
    </w:p>
    <w:p w14:paraId="3B5939B7" w14:textId="77777777" w:rsidR="00F77747" w:rsidRPr="00664609" w:rsidRDefault="00F77747" w:rsidP="009D337A">
      <w:pPr>
        <w:rPr>
          <w:rFonts w:ascii="Georgia" w:eastAsia="Times New Roman" w:hAnsi="Georgia"/>
        </w:rPr>
      </w:pPr>
      <w:r w:rsidRPr="00664609">
        <w:rPr>
          <w:rFonts w:ascii="Georgia" w:eastAsia="Times New Roman" w:hAnsi="Georgia"/>
          <w:color w:val="000000"/>
          <w:shd w:val="clear" w:color="auto" w:fill="FFFFFF"/>
        </w:rPr>
        <w:t>Rimmon-Kenan, S. (2002). The Story of "I": Illness and Narrative Identity.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Narrative,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</w:rPr>
        <w:t>10</w:t>
      </w:r>
      <w:r w:rsidRPr="00664609">
        <w:rPr>
          <w:rFonts w:ascii="Georgia" w:eastAsia="Times New Roman" w:hAnsi="Georgia"/>
          <w:color w:val="000000"/>
          <w:shd w:val="clear" w:color="auto" w:fill="FFFFFF"/>
        </w:rPr>
        <w:t>(1), 9-27.</w:t>
      </w:r>
    </w:p>
    <w:p w14:paraId="6907FEEA" w14:textId="77777777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72CB4440" w14:textId="77777777" w:rsidR="00F77747" w:rsidRPr="00664609" w:rsidRDefault="00F77747" w:rsidP="009D337A">
      <w:pPr>
        <w:rPr>
          <w:rFonts w:ascii="Georgia" w:eastAsia="Times New Roman" w:hAnsi="Georgia"/>
          <w:lang w:val="en-US"/>
        </w:rPr>
      </w:pPr>
      <w:r w:rsidRPr="00664609">
        <w:rPr>
          <w:rFonts w:ascii="Georgia" w:eastAsia="Times New Roman" w:hAnsi="Georgia"/>
          <w:color w:val="000000"/>
          <w:shd w:val="clear" w:color="auto" w:fill="FFFFFF"/>
        </w:rPr>
        <w:t>Rimmon-Kenan, S. (2006). What Can Narrative Theory Learn from Illness Narratives?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en-US"/>
        </w:rPr>
        <w:t>Literature and Medicine,</w:t>
      </w:r>
      <w:r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  <w:lang w:val="en-US"/>
        </w:rPr>
        <w:t> </w:t>
      </w:r>
      <w:r w:rsidRPr="00664609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en-US"/>
        </w:rPr>
        <w:t>25</w:t>
      </w:r>
      <w:r w:rsidRPr="00664609">
        <w:rPr>
          <w:rFonts w:ascii="Georgia" w:eastAsia="Times New Roman" w:hAnsi="Georgia"/>
          <w:color w:val="000000"/>
          <w:shd w:val="clear" w:color="auto" w:fill="FFFFFF"/>
          <w:lang w:val="en-US"/>
        </w:rPr>
        <w:t>(2), 241-254.</w:t>
      </w:r>
    </w:p>
    <w:p w14:paraId="7B064501" w14:textId="77777777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US"/>
        </w:rPr>
      </w:pPr>
    </w:p>
    <w:p w14:paraId="7AD0B2F8" w14:textId="58A40EAD" w:rsidR="00F77747" w:rsidRPr="008D45EF" w:rsidRDefault="00F77747" w:rsidP="009D337A">
      <w:pPr>
        <w:rPr>
          <w:rFonts w:ascii="Georgia" w:eastAsia="Times New Roman" w:hAnsi="Georgia"/>
          <w:i/>
          <w:lang w:val="sv-SE"/>
        </w:rPr>
      </w:pPr>
      <w:r w:rsidRPr="00664609">
        <w:rPr>
          <w:rFonts w:ascii="Georgia" w:hAnsi="Georgia"/>
          <w:color w:val="000000"/>
        </w:rPr>
        <w:t>Salamonsen, Anita/Ahlzén, Rolf (2017): ”</w:t>
      </w:r>
      <w:r w:rsidRPr="00664609">
        <w:rPr>
          <w:rFonts w:ascii="Georgia" w:hAnsi="Georgia"/>
          <w:bCs/>
          <w:color w:val="000000"/>
        </w:rPr>
        <w:t>Epistemological challenges in contemporary Western healthcare systems exemplified by people’s widespread use of complementary and alternative medicine”,</w:t>
      </w:r>
      <w:r w:rsidRPr="00664609">
        <w:rPr>
          <w:rFonts w:ascii="Georgia" w:hAnsi="Georgia"/>
          <w:b/>
          <w:bCs/>
          <w:color w:val="000000"/>
        </w:rPr>
        <w:t xml:space="preserve"> </w:t>
      </w:r>
      <w:r w:rsidRPr="00664609">
        <w:rPr>
          <w:rFonts w:ascii="Georgia" w:eastAsia="Times New Roman" w:hAnsi="Georgia"/>
          <w:i/>
        </w:rPr>
        <w:t>Health: An Interdisciplinary Journal for the Social Study of Health, Illness and Medicine</w:t>
      </w:r>
      <w:r w:rsidRPr="00664609">
        <w:rPr>
          <w:rFonts w:ascii="Georgia" w:eastAsia="Times New Roman" w:hAnsi="Georgia"/>
        </w:rPr>
        <w:t xml:space="preserve">. </w:t>
      </w:r>
      <w:hyperlink r:id="rId10" w:history="1">
        <w:r w:rsidRPr="008D45EF">
          <w:rPr>
            <w:rStyle w:val="Hyperlnk"/>
            <w:rFonts w:ascii="Georgia" w:eastAsia="Times New Roman" w:hAnsi="Georgia"/>
            <w:lang w:val="sv-SE"/>
          </w:rPr>
          <w:t>http://journals.sagepub.com/doi/10.1177/1363459317693408</w:t>
        </w:r>
      </w:hyperlink>
    </w:p>
    <w:p w14:paraId="336EC95C" w14:textId="77777777" w:rsidR="00F77747" w:rsidRPr="008D45EF" w:rsidRDefault="00F77747" w:rsidP="009D337A">
      <w:pPr>
        <w:rPr>
          <w:rFonts w:ascii="Georgia" w:eastAsia="Times New Roman" w:hAnsi="Georgia"/>
          <w:lang w:val="sv-SE"/>
        </w:rPr>
      </w:pPr>
    </w:p>
    <w:p w14:paraId="3C2F97C7" w14:textId="77777777" w:rsidR="00F77747" w:rsidRPr="00DD1169" w:rsidRDefault="00F77747" w:rsidP="009D337A">
      <w:pPr>
        <w:rPr>
          <w:rFonts w:ascii="Georgia" w:hAnsi="Georgia"/>
          <w:color w:val="000000"/>
          <w:lang w:val="nb-NO"/>
        </w:rPr>
      </w:pPr>
      <w:r w:rsidRPr="008D45EF">
        <w:rPr>
          <w:rFonts w:ascii="Georgia" w:hAnsi="Georgia"/>
          <w:color w:val="000000"/>
          <w:lang w:val="sv-SE"/>
        </w:rPr>
        <w:t xml:space="preserve">Scheidt, Carl Eduard et.al. (ed.) </w:t>
      </w:r>
      <w:r w:rsidRPr="00DD1169">
        <w:rPr>
          <w:rFonts w:ascii="Georgia" w:hAnsi="Georgia"/>
          <w:color w:val="000000"/>
          <w:lang w:val="nb-NO"/>
        </w:rPr>
        <w:t xml:space="preserve">(2015): </w:t>
      </w:r>
      <w:r w:rsidRPr="00DD1169">
        <w:rPr>
          <w:rFonts w:ascii="Georgia" w:hAnsi="Georgia"/>
          <w:i/>
          <w:iCs/>
          <w:color w:val="000000"/>
          <w:lang w:val="nb-NO"/>
        </w:rPr>
        <w:t>Narrative Bewältigung von Trauma und Verlust</w:t>
      </w:r>
      <w:r w:rsidRPr="00DD1169">
        <w:rPr>
          <w:rFonts w:ascii="Georgia" w:hAnsi="Georgia"/>
          <w:color w:val="000000"/>
          <w:lang w:val="nb-NO"/>
        </w:rPr>
        <w:t>. Stuttgart: Schattauer.</w:t>
      </w:r>
    </w:p>
    <w:p w14:paraId="08DE8078" w14:textId="77777777" w:rsidR="00F77747" w:rsidRPr="00DD1169" w:rsidRDefault="00F77747" w:rsidP="009D337A">
      <w:pPr>
        <w:rPr>
          <w:rFonts w:ascii="Georgia" w:hAnsi="Georgia"/>
          <w:color w:val="000000"/>
          <w:lang w:val="nb-NO"/>
        </w:rPr>
      </w:pPr>
    </w:p>
    <w:p w14:paraId="31393CE6" w14:textId="7DA01A6B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  <w:r w:rsidRPr="00664609">
        <w:rPr>
          <w:rFonts w:ascii="Georgia" w:hAnsi="Georgia" w:cs="Times New Roman"/>
          <w:sz w:val="24"/>
          <w:szCs w:val="24"/>
        </w:rPr>
        <w:t xml:space="preserve">Stene-Johansen, Knut, &amp; Tygstrup, Frederik. </w:t>
      </w:r>
      <w:r w:rsidRPr="00664609">
        <w:rPr>
          <w:rFonts w:ascii="Georgia" w:hAnsi="Georgia" w:cs="Times New Roman"/>
          <w:sz w:val="24"/>
          <w:szCs w:val="24"/>
          <w:lang w:val="en-GB"/>
        </w:rPr>
        <w:t>(2010).</w:t>
      </w:r>
      <w:r w:rsidRPr="00664609">
        <w:rPr>
          <w:rStyle w:val="apple-converted-space"/>
          <w:rFonts w:ascii="Georgia" w:hAnsi="Georgia" w:cs="Times New Roman"/>
          <w:sz w:val="24"/>
          <w:szCs w:val="24"/>
          <w:lang w:val="en-GB"/>
        </w:rPr>
        <w:t> </w:t>
      </w:r>
      <w:r w:rsidRPr="00664609">
        <w:rPr>
          <w:rFonts w:ascii="Georgia" w:hAnsi="Georgia" w:cs="Times New Roman"/>
          <w:sz w:val="24"/>
          <w:szCs w:val="24"/>
          <w:lang w:val="en-GB"/>
        </w:rPr>
        <w:t>Illness in context</w:t>
      </w:r>
      <w:r w:rsidRPr="00664609">
        <w:rPr>
          <w:rStyle w:val="apple-converted-space"/>
          <w:rFonts w:ascii="Georgia" w:hAnsi="Georgia" w:cs="Times New Roman"/>
          <w:sz w:val="24"/>
          <w:szCs w:val="24"/>
          <w:lang w:val="en-GB"/>
        </w:rPr>
        <w:t> </w:t>
      </w:r>
      <w:r w:rsidRPr="00664609">
        <w:rPr>
          <w:rFonts w:ascii="Georgia" w:hAnsi="Georgia" w:cs="Times New Roman"/>
          <w:sz w:val="24"/>
          <w:szCs w:val="24"/>
          <w:lang w:val="en-GB"/>
        </w:rPr>
        <w:t>(Vol. Vol. 65, At the interface/Probing the boundaries). Amsterdam: Rodopi.</w:t>
      </w:r>
    </w:p>
    <w:p w14:paraId="7BE204BD" w14:textId="77777777" w:rsidR="00F77747" w:rsidRPr="00664609" w:rsidRDefault="00F77747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</w:p>
    <w:p w14:paraId="35F75589" w14:textId="5028234F" w:rsidR="00A536CE" w:rsidRPr="0096273A" w:rsidRDefault="00F77747" w:rsidP="009D337A">
      <w:pPr>
        <w:rPr>
          <w:rFonts w:ascii="Georgia" w:eastAsia="Times New Roman" w:hAnsi="Georgia"/>
          <w:lang w:val="da-DK"/>
        </w:rPr>
      </w:pPr>
      <w:r w:rsidRPr="00664609">
        <w:rPr>
          <w:rFonts w:ascii="Georgia" w:eastAsia="Times New Roman" w:hAnsi="Georgia"/>
          <w:color w:val="000000"/>
          <w:shd w:val="clear" w:color="auto" w:fill="FFFFFF"/>
        </w:rPr>
        <w:t>W</w:t>
      </w:r>
      <w:r w:rsidR="00A536CE" w:rsidRPr="00664609">
        <w:rPr>
          <w:rFonts w:ascii="Georgia" w:eastAsia="Times New Roman" w:hAnsi="Georgia"/>
          <w:color w:val="000000"/>
          <w:shd w:val="clear" w:color="auto" w:fill="FFFFFF"/>
        </w:rPr>
        <w:t>alter, T. (2010). Jade and the journalists: Media coverage of a young British celebrity dying of cancer.</w:t>
      </w:r>
      <w:r w:rsidR="00A536CE" w:rsidRPr="00664609">
        <w:rPr>
          <w:rStyle w:val="apple-converted-space"/>
          <w:rFonts w:ascii="Georgia" w:eastAsia="Times New Roman" w:hAnsi="Georgia"/>
          <w:color w:val="000000"/>
          <w:shd w:val="clear" w:color="auto" w:fill="FFFFFF"/>
        </w:rPr>
        <w:t> </w:t>
      </w:r>
      <w:r w:rsidR="00A536CE" w:rsidRPr="0096273A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da-DK"/>
        </w:rPr>
        <w:t>Social Science &amp; Medicine,</w:t>
      </w:r>
      <w:r w:rsidR="00A536CE" w:rsidRPr="0096273A">
        <w:rPr>
          <w:rStyle w:val="apple-converted-space"/>
          <w:rFonts w:ascii="Georgia" w:eastAsia="Times New Roman" w:hAnsi="Georgia"/>
          <w:color w:val="000000"/>
          <w:shd w:val="clear" w:color="auto" w:fill="FFFFFF"/>
          <w:lang w:val="da-DK"/>
        </w:rPr>
        <w:t> </w:t>
      </w:r>
      <w:r w:rsidR="00A536CE" w:rsidRPr="0096273A">
        <w:rPr>
          <w:rFonts w:ascii="Georgia" w:eastAsia="Times New Roman" w:hAnsi="Georgia"/>
          <w:i/>
          <w:iCs/>
          <w:color w:val="000000"/>
          <w:bdr w:val="none" w:sz="0" w:space="0" w:color="auto" w:frame="1"/>
          <w:lang w:val="da-DK"/>
        </w:rPr>
        <w:t>71</w:t>
      </w:r>
      <w:r w:rsidR="00A536CE" w:rsidRPr="0096273A">
        <w:rPr>
          <w:rFonts w:ascii="Georgia" w:eastAsia="Times New Roman" w:hAnsi="Georgia"/>
          <w:color w:val="000000"/>
          <w:shd w:val="clear" w:color="auto" w:fill="FFFFFF"/>
          <w:lang w:val="da-DK"/>
        </w:rPr>
        <w:t>(5), 853-860.</w:t>
      </w:r>
    </w:p>
    <w:p w14:paraId="4C65A960" w14:textId="77777777" w:rsidR="00EF6060" w:rsidRPr="0096273A" w:rsidRDefault="00EF6060" w:rsidP="009D337A">
      <w:pPr>
        <w:pStyle w:val="Ingetavstnd"/>
        <w:rPr>
          <w:rFonts w:ascii="Georgia" w:hAnsi="Georgia" w:cs="Times New Roman"/>
          <w:sz w:val="24"/>
          <w:szCs w:val="24"/>
          <w:lang w:val="da-DK"/>
        </w:rPr>
      </w:pPr>
    </w:p>
    <w:p w14:paraId="487D4628" w14:textId="0AE8E8A6" w:rsidR="006A0A0D" w:rsidRPr="0096273A" w:rsidRDefault="006A0A0D" w:rsidP="009D337A">
      <w:pPr>
        <w:pStyle w:val="Ingetavstnd"/>
        <w:rPr>
          <w:rFonts w:ascii="Georgia" w:hAnsi="Georgia" w:cs="Times New Roman"/>
          <w:sz w:val="24"/>
          <w:szCs w:val="24"/>
          <w:lang w:val="da-DK"/>
        </w:rPr>
      </w:pPr>
      <w:r w:rsidRPr="0096273A">
        <w:rPr>
          <w:rFonts w:ascii="Georgia" w:hAnsi="Georgia" w:cs="Times New Roman"/>
          <w:sz w:val="24"/>
          <w:szCs w:val="24"/>
          <w:lang w:val="da-DK"/>
        </w:rPr>
        <w:t>Aaslestad</w:t>
      </w:r>
      <w:r w:rsidR="00DE7CD0" w:rsidRPr="0096273A">
        <w:rPr>
          <w:rFonts w:ascii="Georgia" w:hAnsi="Georgia" w:cs="Times New Roman"/>
          <w:sz w:val="24"/>
          <w:szCs w:val="24"/>
          <w:lang w:val="da-DK"/>
        </w:rPr>
        <w:t>, P</w:t>
      </w:r>
      <w:r w:rsidRPr="0096273A">
        <w:rPr>
          <w:rFonts w:ascii="Georgia" w:hAnsi="Georgia" w:cs="Times New Roman"/>
          <w:sz w:val="24"/>
          <w:szCs w:val="24"/>
          <w:lang w:val="da-DK"/>
        </w:rPr>
        <w:t>. (2009). Amalie Skrams asylromaner revisited. Edda, 109(01), 53-64.</w:t>
      </w:r>
    </w:p>
    <w:p w14:paraId="1D6561C2" w14:textId="77777777" w:rsidR="00DE7CD0" w:rsidRPr="0096273A" w:rsidRDefault="00DE7CD0" w:rsidP="009D337A">
      <w:pPr>
        <w:pStyle w:val="Ingetavstnd"/>
        <w:rPr>
          <w:rFonts w:ascii="Georgia" w:hAnsi="Georgia" w:cs="Times New Roman"/>
          <w:sz w:val="24"/>
          <w:szCs w:val="24"/>
          <w:lang w:val="da-DK"/>
        </w:rPr>
      </w:pPr>
    </w:p>
    <w:p w14:paraId="4C813535" w14:textId="5CBB5550" w:rsidR="00DE7CD0" w:rsidRPr="00664609" w:rsidRDefault="00DE7CD0" w:rsidP="009D337A">
      <w:pPr>
        <w:pStyle w:val="Ingetavstnd"/>
        <w:rPr>
          <w:rFonts w:ascii="Georgia" w:hAnsi="Georgia" w:cs="Times New Roman"/>
          <w:sz w:val="24"/>
          <w:szCs w:val="24"/>
          <w:lang w:val="en-GB"/>
        </w:rPr>
      </w:pPr>
      <w:r w:rsidRPr="00664609">
        <w:rPr>
          <w:rFonts w:ascii="Georgia" w:hAnsi="Georgia" w:cs="Times New Roman"/>
          <w:sz w:val="24"/>
          <w:szCs w:val="24"/>
        </w:rPr>
        <w:t>Aaslestad, P., Skuggevik, E., &amp; Dawkin, D. (2009). </w:t>
      </w:r>
      <w:r w:rsidRPr="00664609">
        <w:rPr>
          <w:rFonts w:ascii="Georgia" w:hAnsi="Georgia" w:cs="Times New Roman"/>
          <w:sz w:val="24"/>
          <w:szCs w:val="24"/>
          <w:lang w:val="en-GB"/>
        </w:rPr>
        <w:t>The Patient as Text: The Role of the Narrator in Psychiatric</w:t>
      </w:r>
      <w:r w:rsidRPr="00664609">
        <w:rPr>
          <w:rFonts w:ascii="Georgia" w:hAnsi="Georgia" w:cs="Times New Roman"/>
          <w:i/>
          <w:iCs/>
          <w:sz w:val="24"/>
          <w:szCs w:val="24"/>
          <w:bdr w:val="none" w:sz="0" w:space="0" w:color="auto" w:frame="1"/>
          <w:lang w:val="en-GB"/>
        </w:rPr>
        <w:t xml:space="preserve"> Notes, 1890-1990</w:t>
      </w:r>
      <w:r w:rsidRPr="00664609">
        <w:rPr>
          <w:rFonts w:ascii="Georgia" w:hAnsi="Georgia" w:cs="Times New Roman"/>
          <w:sz w:val="24"/>
          <w:szCs w:val="24"/>
          <w:lang w:val="en-GB"/>
        </w:rPr>
        <w:t>. London: CRC Press.</w:t>
      </w:r>
    </w:p>
    <w:p w14:paraId="55642006" w14:textId="77777777" w:rsidR="00DE7CD0" w:rsidRPr="00664609" w:rsidRDefault="00DE7CD0" w:rsidP="009D337A">
      <w:pPr>
        <w:rPr>
          <w:rFonts w:ascii="Georgia" w:eastAsia="Times New Roman" w:hAnsi="Georgia"/>
        </w:rPr>
      </w:pPr>
    </w:p>
    <w:p w14:paraId="24DB60E0" w14:textId="77777777" w:rsidR="008E29D9" w:rsidRPr="00664609" w:rsidRDefault="008E29D9" w:rsidP="009D337A">
      <w:pPr>
        <w:jc w:val="both"/>
        <w:rPr>
          <w:rFonts w:ascii="Georgia" w:hAnsi="Georgia"/>
          <w:b/>
        </w:rPr>
      </w:pPr>
    </w:p>
    <w:sectPr w:rsidR="008E29D9" w:rsidRPr="0066460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BC891" w14:textId="77777777" w:rsidR="005D332A" w:rsidRDefault="005D332A" w:rsidP="00352BB8">
      <w:r>
        <w:separator/>
      </w:r>
    </w:p>
  </w:endnote>
  <w:endnote w:type="continuationSeparator" w:id="0">
    <w:p w14:paraId="54CB8E29" w14:textId="77777777" w:rsidR="005D332A" w:rsidRDefault="005D332A" w:rsidP="003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86A2" w14:textId="77777777" w:rsidR="00352BB8" w:rsidRDefault="00352BB8" w:rsidP="005C2CD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D2B954" w14:textId="77777777" w:rsidR="00352BB8" w:rsidRDefault="00352BB8" w:rsidP="003B71E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1B51" w14:textId="4A5525B0" w:rsidR="00352BB8" w:rsidRDefault="00352BB8" w:rsidP="005C2CD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45EF">
      <w:rPr>
        <w:rStyle w:val="Sidnummer"/>
        <w:noProof/>
      </w:rPr>
      <w:t>2</w:t>
    </w:r>
    <w:r>
      <w:rPr>
        <w:rStyle w:val="Sidnummer"/>
      </w:rPr>
      <w:fldChar w:fldCharType="end"/>
    </w:r>
  </w:p>
  <w:p w14:paraId="4885F927" w14:textId="77777777" w:rsidR="00352BB8" w:rsidRDefault="00352BB8" w:rsidP="003B71E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5745" w14:textId="77777777" w:rsidR="005D332A" w:rsidRDefault="005D332A" w:rsidP="00352BB8">
      <w:r>
        <w:separator/>
      </w:r>
    </w:p>
  </w:footnote>
  <w:footnote w:type="continuationSeparator" w:id="0">
    <w:p w14:paraId="40599B4F" w14:textId="77777777" w:rsidR="005D332A" w:rsidRDefault="005D332A" w:rsidP="0035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3127"/>
    <w:multiLevelType w:val="hybridMultilevel"/>
    <w:tmpl w:val="CE2C0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70"/>
    <w:rsid w:val="000378E0"/>
    <w:rsid w:val="0004599F"/>
    <w:rsid w:val="00047D2B"/>
    <w:rsid w:val="000626D2"/>
    <w:rsid w:val="00071864"/>
    <w:rsid w:val="0007249C"/>
    <w:rsid w:val="0008151F"/>
    <w:rsid w:val="00091B55"/>
    <w:rsid w:val="000A769D"/>
    <w:rsid w:val="000C0178"/>
    <w:rsid w:val="000E0A06"/>
    <w:rsid w:val="000F376F"/>
    <w:rsid w:val="001076D6"/>
    <w:rsid w:val="00124A52"/>
    <w:rsid w:val="00166EDC"/>
    <w:rsid w:val="001765F8"/>
    <w:rsid w:val="0018300D"/>
    <w:rsid w:val="001A3481"/>
    <w:rsid w:val="001A3A6C"/>
    <w:rsid w:val="001A3E48"/>
    <w:rsid w:val="001C2404"/>
    <w:rsid w:val="001D616E"/>
    <w:rsid w:val="001E19C4"/>
    <w:rsid w:val="0021490F"/>
    <w:rsid w:val="0022393C"/>
    <w:rsid w:val="0023315A"/>
    <w:rsid w:val="00243787"/>
    <w:rsid w:val="00263DEA"/>
    <w:rsid w:val="00266030"/>
    <w:rsid w:val="002755DD"/>
    <w:rsid w:val="00280746"/>
    <w:rsid w:val="00293EF1"/>
    <w:rsid w:val="002A3EA4"/>
    <w:rsid w:val="002B145F"/>
    <w:rsid w:val="002F36B4"/>
    <w:rsid w:val="002F7908"/>
    <w:rsid w:val="00303358"/>
    <w:rsid w:val="0031613F"/>
    <w:rsid w:val="00352BB8"/>
    <w:rsid w:val="0038387B"/>
    <w:rsid w:val="0039432A"/>
    <w:rsid w:val="003B71EC"/>
    <w:rsid w:val="003C3EAD"/>
    <w:rsid w:val="003F5CA7"/>
    <w:rsid w:val="00450F8A"/>
    <w:rsid w:val="00471251"/>
    <w:rsid w:val="0047424E"/>
    <w:rsid w:val="00474EDB"/>
    <w:rsid w:val="004842C8"/>
    <w:rsid w:val="0048518F"/>
    <w:rsid w:val="0048735C"/>
    <w:rsid w:val="0049208D"/>
    <w:rsid w:val="00492C39"/>
    <w:rsid w:val="004940E9"/>
    <w:rsid w:val="004D0FE5"/>
    <w:rsid w:val="004D404C"/>
    <w:rsid w:val="004F120D"/>
    <w:rsid w:val="0051086E"/>
    <w:rsid w:val="00527FC3"/>
    <w:rsid w:val="00547A1B"/>
    <w:rsid w:val="00547F6D"/>
    <w:rsid w:val="00553E9A"/>
    <w:rsid w:val="00556BDD"/>
    <w:rsid w:val="00591B21"/>
    <w:rsid w:val="00592ECE"/>
    <w:rsid w:val="005C038C"/>
    <w:rsid w:val="005D332A"/>
    <w:rsid w:val="005E0915"/>
    <w:rsid w:val="005E2EC0"/>
    <w:rsid w:val="005E73FF"/>
    <w:rsid w:val="005F3662"/>
    <w:rsid w:val="006070B4"/>
    <w:rsid w:val="00613985"/>
    <w:rsid w:val="00620D79"/>
    <w:rsid w:val="006431F0"/>
    <w:rsid w:val="00664609"/>
    <w:rsid w:val="0066465D"/>
    <w:rsid w:val="00666952"/>
    <w:rsid w:val="00682B69"/>
    <w:rsid w:val="00684056"/>
    <w:rsid w:val="00687613"/>
    <w:rsid w:val="00695291"/>
    <w:rsid w:val="006A0A0D"/>
    <w:rsid w:val="006A130A"/>
    <w:rsid w:val="006A1CC0"/>
    <w:rsid w:val="006D1064"/>
    <w:rsid w:val="006D6914"/>
    <w:rsid w:val="006D6D34"/>
    <w:rsid w:val="006F148D"/>
    <w:rsid w:val="00711184"/>
    <w:rsid w:val="007376DB"/>
    <w:rsid w:val="0075162B"/>
    <w:rsid w:val="00773E2A"/>
    <w:rsid w:val="00781044"/>
    <w:rsid w:val="00786AAA"/>
    <w:rsid w:val="007B1942"/>
    <w:rsid w:val="007D3EF7"/>
    <w:rsid w:val="007E1A19"/>
    <w:rsid w:val="007E55CA"/>
    <w:rsid w:val="007E6880"/>
    <w:rsid w:val="008015EC"/>
    <w:rsid w:val="008077E7"/>
    <w:rsid w:val="00816EB4"/>
    <w:rsid w:val="008228BC"/>
    <w:rsid w:val="008234B1"/>
    <w:rsid w:val="00853D24"/>
    <w:rsid w:val="00854AB0"/>
    <w:rsid w:val="0086514A"/>
    <w:rsid w:val="00880A65"/>
    <w:rsid w:val="00882F06"/>
    <w:rsid w:val="00884102"/>
    <w:rsid w:val="00892F3C"/>
    <w:rsid w:val="008B1919"/>
    <w:rsid w:val="008C29E7"/>
    <w:rsid w:val="008D45EF"/>
    <w:rsid w:val="008E29D9"/>
    <w:rsid w:val="008F2634"/>
    <w:rsid w:val="009108EB"/>
    <w:rsid w:val="00935732"/>
    <w:rsid w:val="00936BEB"/>
    <w:rsid w:val="0096273A"/>
    <w:rsid w:val="00972AFB"/>
    <w:rsid w:val="00973914"/>
    <w:rsid w:val="009759AA"/>
    <w:rsid w:val="00986DA1"/>
    <w:rsid w:val="009A3440"/>
    <w:rsid w:val="009C08CA"/>
    <w:rsid w:val="009D337A"/>
    <w:rsid w:val="009E657F"/>
    <w:rsid w:val="00A01695"/>
    <w:rsid w:val="00A46DC7"/>
    <w:rsid w:val="00A536CE"/>
    <w:rsid w:val="00A64170"/>
    <w:rsid w:val="00A81D4F"/>
    <w:rsid w:val="00A94102"/>
    <w:rsid w:val="00AA53C6"/>
    <w:rsid w:val="00AA7DCD"/>
    <w:rsid w:val="00AC1D52"/>
    <w:rsid w:val="00AD05E5"/>
    <w:rsid w:val="00AD105E"/>
    <w:rsid w:val="00AE1D69"/>
    <w:rsid w:val="00B0600C"/>
    <w:rsid w:val="00B23889"/>
    <w:rsid w:val="00B23FE7"/>
    <w:rsid w:val="00BC36DF"/>
    <w:rsid w:val="00BE6BDE"/>
    <w:rsid w:val="00BF6839"/>
    <w:rsid w:val="00C11FF6"/>
    <w:rsid w:val="00C317A6"/>
    <w:rsid w:val="00C37BE6"/>
    <w:rsid w:val="00C457DC"/>
    <w:rsid w:val="00C63FA8"/>
    <w:rsid w:val="00C756F7"/>
    <w:rsid w:val="00C82413"/>
    <w:rsid w:val="00C94BD0"/>
    <w:rsid w:val="00C97895"/>
    <w:rsid w:val="00CA53A7"/>
    <w:rsid w:val="00CB1625"/>
    <w:rsid w:val="00CB21D9"/>
    <w:rsid w:val="00CB2235"/>
    <w:rsid w:val="00CB5992"/>
    <w:rsid w:val="00CE0D3B"/>
    <w:rsid w:val="00CE56BC"/>
    <w:rsid w:val="00CE7B76"/>
    <w:rsid w:val="00D05B03"/>
    <w:rsid w:val="00D36190"/>
    <w:rsid w:val="00D376F2"/>
    <w:rsid w:val="00D4223B"/>
    <w:rsid w:val="00D56ADC"/>
    <w:rsid w:val="00D62847"/>
    <w:rsid w:val="00D64D33"/>
    <w:rsid w:val="00D71CB5"/>
    <w:rsid w:val="00D90F33"/>
    <w:rsid w:val="00DA11B8"/>
    <w:rsid w:val="00DB3AF1"/>
    <w:rsid w:val="00DD1169"/>
    <w:rsid w:val="00DD3A37"/>
    <w:rsid w:val="00DE2EA6"/>
    <w:rsid w:val="00DE597B"/>
    <w:rsid w:val="00DE7CD0"/>
    <w:rsid w:val="00DF743A"/>
    <w:rsid w:val="00E13748"/>
    <w:rsid w:val="00E17980"/>
    <w:rsid w:val="00E473E3"/>
    <w:rsid w:val="00E61B5B"/>
    <w:rsid w:val="00E658C3"/>
    <w:rsid w:val="00E70992"/>
    <w:rsid w:val="00E715D3"/>
    <w:rsid w:val="00E82302"/>
    <w:rsid w:val="00EB33B4"/>
    <w:rsid w:val="00EB7294"/>
    <w:rsid w:val="00EC0DC7"/>
    <w:rsid w:val="00EC1552"/>
    <w:rsid w:val="00EF6060"/>
    <w:rsid w:val="00EF7394"/>
    <w:rsid w:val="00F367D0"/>
    <w:rsid w:val="00F37210"/>
    <w:rsid w:val="00F52D0C"/>
    <w:rsid w:val="00F77747"/>
    <w:rsid w:val="00F94532"/>
    <w:rsid w:val="00FB3E41"/>
    <w:rsid w:val="00FB4D72"/>
    <w:rsid w:val="00FC0C7B"/>
    <w:rsid w:val="00FE19A2"/>
    <w:rsid w:val="00FE2B89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A1C"/>
  <w15:chartTrackingRefBased/>
  <w15:docId w15:val="{AD611E57-AB62-42FF-9CFD-7BFCB39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6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ubrik1">
    <w:name w:val="heading 1"/>
    <w:basedOn w:val="Normal"/>
    <w:link w:val="Rubrik1Char"/>
    <w:uiPriority w:val="9"/>
    <w:qFormat/>
    <w:rsid w:val="006669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-size-extra-large3">
    <w:name w:val="a-size-extra-large3"/>
    <w:basedOn w:val="Standardstycketeckensnitt"/>
    <w:rsid w:val="000626D2"/>
  </w:style>
  <w:style w:type="character" w:styleId="Betoning">
    <w:name w:val="Emphasis"/>
    <w:basedOn w:val="Standardstycketeckensnitt"/>
    <w:uiPriority w:val="20"/>
    <w:qFormat/>
    <w:rsid w:val="00592ECE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66952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Ingetavstnd">
    <w:name w:val="No Spacing"/>
    <w:uiPriority w:val="1"/>
    <w:qFormat/>
    <w:rsid w:val="006D6D34"/>
    <w:pPr>
      <w:spacing w:after="0" w:line="240" w:lineRule="auto"/>
    </w:pPr>
    <w:rPr>
      <w:shd w:val="clear" w:color="auto" w:fill="FFFFFF"/>
    </w:rPr>
  </w:style>
  <w:style w:type="character" w:customStyle="1" w:styleId="apple-converted-space">
    <w:name w:val="apple-converted-space"/>
    <w:basedOn w:val="Standardstycketeckensnitt"/>
    <w:rsid w:val="001D616E"/>
  </w:style>
  <w:style w:type="character" w:styleId="Hyperlnk">
    <w:name w:val="Hyperlink"/>
    <w:basedOn w:val="Standardstycketeckensnitt"/>
    <w:uiPriority w:val="99"/>
    <w:unhideWhenUsed/>
    <w:rsid w:val="00880A65"/>
    <w:rPr>
      <w:color w:val="0000FF"/>
      <w:u w:val="single"/>
    </w:rPr>
  </w:style>
  <w:style w:type="character" w:customStyle="1" w:styleId="subtitle1">
    <w:name w:val="subtitle1"/>
    <w:basedOn w:val="Standardstycketeckensnitt"/>
    <w:rsid w:val="0021490F"/>
  </w:style>
  <w:style w:type="paragraph" w:styleId="Ballongtext">
    <w:name w:val="Balloon Text"/>
    <w:basedOn w:val="Normal"/>
    <w:link w:val="BallongtextChar"/>
    <w:uiPriority w:val="99"/>
    <w:semiHidden/>
    <w:unhideWhenUsed/>
    <w:rsid w:val="00AC1D5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D52"/>
    <w:rPr>
      <w:rFonts w:ascii="Times New Roman" w:hAnsi="Times New Roman" w:cs="Times New Roman"/>
      <w:sz w:val="18"/>
      <w:szCs w:val="18"/>
      <w:lang w:val="en-GB" w:eastAsia="en-GB"/>
    </w:rPr>
  </w:style>
  <w:style w:type="paragraph" w:styleId="Liststycke">
    <w:name w:val="List Paragraph"/>
    <w:basedOn w:val="Normal"/>
    <w:uiPriority w:val="34"/>
    <w:qFormat/>
    <w:rsid w:val="0061398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352B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2BB8"/>
    <w:rPr>
      <w:rFonts w:ascii="Times New Roman" w:hAnsi="Times New Roman" w:cs="Times New Roman"/>
      <w:sz w:val="24"/>
      <w:szCs w:val="24"/>
      <w:lang w:val="en-GB" w:eastAsia="en-GB"/>
    </w:rPr>
  </w:style>
  <w:style w:type="character" w:styleId="Sidnummer">
    <w:name w:val="page number"/>
    <w:basedOn w:val="Standardstycketeckensnitt"/>
    <w:uiPriority w:val="99"/>
    <w:semiHidden/>
    <w:unhideWhenUsed/>
    <w:rsid w:val="00352BB8"/>
  </w:style>
  <w:style w:type="character" w:styleId="Kommentarsreferens">
    <w:name w:val="annotation reference"/>
    <w:basedOn w:val="Standardstycketeckensnitt"/>
    <w:uiPriority w:val="99"/>
    <w:semiHidden/>
    <w:unhideWhenUsed/>
    <w:rsid w:val="00CE7B7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7B7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7B76"/>
    <w:rPr>
      <w:rFonts w:ascii="Times New Roman" w:hAnsi="Times New Roman" w:cs="Times New Roman"/>
      <w:sz w:val="24"/>
      <w:szCs w:val="24"/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7B7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7B76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457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theres.federhofer@ui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dsskrift.dk/sygdomogsamfun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ournals.sagepub.com/doi/10.1177/1363459317693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nesby@ui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8481</Characters>
  <Application>Microsoft Office Word</Application>
  <DocSecurity>4</DocSecurity>
  <Lines>70</Lines>
  <Paragraphs>20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Nesby</dc:creator>
  <cp:keywords/>
  <dc:description/>
  <cp:lastModifiedBy>Katarina Bernhardsson</cp:lastModifiedBy>
  <cp:revision>2</cp:revision>
  <cp:lastPrinted>2018-01-17T12:10:00Z</cp:lastPrinted>
  <dcterms:created xsi:type="dcterms:W3CDTF">2018-01-17T12:48:00Z</dcterms:created>
  <dcterms:modified xsi:type="dcterms:W3CDTF">2018-01-17T12:48:00Z</dcterms:modified>
</cp:coreProperties>
</file>