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BB0D" w14:textId="69AB9B1F" w:rsidR="003C5319" w:rsidRPr="00145743" w:rsidRDefault="00145743">
      <w:pPr>
        <w:rPr>
          <w:b/>
          <w:bCs/>
          <w:sz w:val="40"/>
          <w:szCs w:val="40"/>
        </w:rPr>
      </w:pPr>
      <w:r w:rsidRPr="00145743">
        <w:rPr>
          <w:b/>
          <w:bCs/>
          <w:sz w:val="40"/>
          <w:szCs w:val="40"/>
        </w:rPr>
        <w:t xml:space="preserve">Referat fra møde i </w:t>
      </w:r>
      <w:proofErr w:type="spellStart"/>
      <w:r w:rsidRPr="00145743">
        <w:rPr>
          <w:b/>
          <w:bCs/>
          <w:sz w:val="40"/>
          <w:szCs w:val="40"/>
        </w:rPr>
        <w:t>ph.d.-udvalget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5925"/>
      </w:tblGrid>
      <w:tr w:rsidR="00145743" w:rsidRPr="00145743" w14:paraId="7C4F5CAD" w14:textId="77777777" w:rsidTr="001CB07D">
        <w:trPr>
          <w:trHeight w:val="45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09C4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Emne 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462CF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Møde i </w:t>
            </w:r>
            <w:proofErr w:type="spellStart"/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ph.d.-udvalget</w:t>
            </w:r>
            <w:proofErr w:type="spellEnd"/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</w:tr>
      <w:tr w:rsidR="00145743" w:rsidRPr="00145743" w14:paraId="753543FB" w14:textId="77777777" w:rsidTr="001CB07D">
        <w:trPr>
          <w:trHeight w:val="45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34742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Dato og tidspunkt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6826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27. april 2022 kl. 10.15-12.00 </w:t>
            </w:r>
          </w:p>
        </w:tc>
      </w:tr>
      <w:tr w:rsidR="00145743" w:rsidRPr="00145743" w14:paraId="45452B51" w14:textId="77777777" w:rsidTr="001CB07D">
        <w:trPr>
          <w:trHeight w:val="45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DEDA5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Sted 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2975A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proofErr w:type="spellStart"/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Comenius</w:t>
            </w:r>
            <w:proofErr w:type="spellEnd"/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</w:tr>
      <w:tr w:rsidR="00145743" w:rsidRPr="00145743" w14:paraId="6D673A72" w14:textId="77777777" w:rsidTr="001CB07D">
        <w:trPr>
          <w:trHeight w:val="45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912E" w14:textId="55B3BEC9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Til stede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D4184" w14:textId="48E0CAE9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Louise Nyholm Kallestrup</w:t>
            </w:r>
            <w:r w:rsidR="00C25637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(LK)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, Nina Bonderup Dohn</w:t>
            </w:r>
            <w:r w:rsidR="00C25637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(ND)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, Caroline Schaffalitzky de Muckadell</w:t>
            </w:r>
            <w:r w:rsidR="00C25637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(CS)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, Tamara Holkenov</w:t>
            </w:r>
            <w:r w:rsidR="00C25637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(TH)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, Mads Bärenholdt</w:t>
            </w:r>
            <w:r w:rsidR="00C25637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(MB)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, Ida Aaskov Dolmer</w:t>
            </w:r>
            <w:r w:rsidR="00C25637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 xml:space="preserve"> (ID)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</w:tr>
      <w:tr w:rsidR="00145743" w:rsidRPr="00145743" w14:paraId="2846E1CE" w14:textId="77777777" w:rsidTr="001CB07D">
        <w:trPr>
          <w:trHeight w:val="45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A0AEC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Afbud fra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1BB9A" w14:textId="3FF311AC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CB07D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Lars Frode Frederiksen, Teresa Cadierno, Emilie Munch Nicolaisen, Anders Hee Nørbjerg Poulsen </w:t>
            </w:r>
          </w:p>
        </w:tc>
      </w:tr>
      <w:tr w:rsidR="00145743" w:rsidRPr="00145743" w14:paraId="3EB0911D" w14:textId="77777777" w:rsidTr="001CB07D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7407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025D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</w:tr>
      <w:tr w:rsidR="00145743" w:rsidRPr="00145743" w14:paraId="407C92BE" w14:textId="77777777" w:rsidTr="001CB07D">
        <w:trPr>
          <w:trHeight w:val="450"/>
        </w:trPr>
        <w:tc>
          <w:tcPr>
            <w:tcW w:w="214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16BBCB85" w14:textId="0EDAC574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Referent</w:t>
            </w:r>
            <w:r w:rsidRPr="0014574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da-DK"/>
              </w:rPr>
              <w:t> </w:t>
            </w: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hideMark/>
          </w:tcPr>
          <w:p w14:paraId="3D7B79D2" w14:textId="038A787C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da-DK"/>
              </w:rPr>
            </w:pP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Ingelise Nielsen</w:t>
            </w:r>
          </w:p>
          <w:p w14:paraId="44FD3239" w14:textId="77777777" w:rsidR="00145743" w:rsidRPr="00145743" w:rsidRDefault="00145743" w:rsidP="001457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145743">
              <w:rPr>
                <w:rFonts w:ascii="Arial" w:eastAsia="Times New Roman" w:hAnsi="Arial" w:cs="Arial"/>
                <w:sz w:val="19"/>
                <w:szCs w:val="19"/>
                <w:lang w:eastAsia="da-DK"/>
              </w:rPr>
              <w:t> </w:t>
            </w:r>
          </w:p>
        </w:tc>
      </w:tr>
    </w:tbl>
    <w:p w14:paraId="52400CC2" w14:textId="1687C56B" w:rsidR="00145743" w:rsidRDefault="00145743"/>
    <w:p w14:paraId="71AD50F1" w14:textId="77777777" w:rsidR="00D2692D" w:rsidRDefault="00D2692D"/>
    <w:p w14:paraId="511749BE" w14:textId="78630891" w:rsidR="00145743" w:rsidRPr="00B454B1" w:rsidRDefault="00145743" w:rsidP="0014574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B454B1">
        <w:rPr>
          <w:b/>
          <w:bCs/>
          <w:sz w:val="28"/>
          <w:szCs w:val="28"/>
        </w:rPr>
        <w:t>Meddelelser</w:t>
      </w:r>
    </w:p>
    <w:p w14:paraId="0A4C8AAE" w14:textId="0E59D722" w:rsidR="00145743" w:rsidRPr="00B454B1" w:rsidRDefault="00145743" w:rsidP="00145743">
      <w:pPr>
        <w:pStyle w:val="Listeafsnit"/>
        <w:numPr>
          <w:ilvl w:val="1"/>
          <w:numId w:val="1"/>
        </w:numPr>
        <w:rPr>
          <w:b/>
          <w:bCs/>
        </w:rPr>
      </w:pPr>
      <w:r w:rsidRPr="00B454B1">
        <w:rPr>
          <w:b/>
          <w:bCs/>
        </w:rPr>
        <w:t xml:space="preserve">PhD- </w:t>
      </w:r>
      <w:proofErr w:type="spellStart"/>
      <w:r w:rsidRPr="00B454B1">
        <w:rPr>
          <w:b/>
          <w:bCs/>
        </w:rPr>
        <w:t>award</w:t>
      </w:r>
      <w:proofErr w:type="spellEnd"/>
    </w:p>
    <w:p w14:paraId="279EF990" w14:textId="18ED57E6" w:rsidR="00757251" w:rsidRDefault="00757251" w:rsidP="00757251">
      <w:r>
        <w:t>I efteråret 2021 blev det besluttet, at man skal fortsætte med at uddele PhD-</w:t>
      </w:r>
      <w:proofErr w:type="spellStart"/>
      <w:r>
        <w:t>awarden</w:t>
      </w:r>
      <w:proofErr w:type="spellEnd"/>
      <w:r>
        <w:t xml:space="preserve">. Ud af de afhandlinger, som er blevet indleveret i perioden fra april – april skal institutterne indstille kandidater til prisen. Dernæst beslutter formanden for AR, dekanen og ph.d.-skolelederen, hvem der skal modtage prisen. </w:t>
      </w:r>
      <w:proofErr w:type="spellStart"/>
      <w:r w:rsidR="00C25637">
        <w:t>Ph.d.-udvalget</w:t>
      </w:r>
      <w:proofErr w:type="spellEnd"/>
      <w:r w:rsidR="00C25637">
        <w:t xml:space="preserve"> </w:t>
      </w:r>
      <w:r w:rsidR="00B454B1">
        <w:t>mente</w:t>
      </w:r>
      <w:r w:rsidR="00C25637">
        <w:t>, at når man sender indkaldelsen til institutterne, skal vejlederne på cc, så de er orienterede og kan bidrage til udvælgelsen.</w:t>
      </w:r>
    </w:p>
    <w:p w14:paraId="369CFFCF" w14:textId="5EF23A44" w:rsidR="004E32B2" w:rsidRPr="00B454B1" w:rsidRDefault="004E32B2" w:rsidP="004E32B2">
      <w:pPr>
        <w:pStyle w:val="Listeafsnit"/>
        <w:numPr>
          <w:ilvl w:val="0"/>
          <w:numId w:val="3"/>
        </w:numPr>
        <w:rPr>
          <w:b/>
          <w:bCs/>
        </w:rPr>
      </w:pPr>
      <w:r w:rsidRPr="00B454B1">
        <w:rPr>
          <w:b/>
          <w:bCs/>
        </w:rPr>
        <w:t>Eliteforsk-stipendier</w:t>
      </w:r>
    </w:p>
    <w:p w14:paraId="0DB22A55" w14:textId="78BB45DE" w:rsidR="004E32B2" w:rsidRDefault="004E32B2" w:rsidP="004E32B2">
      <w:r>
        <w:t>Der er frist for indstilling den 9. maj. Vi har endnu ikke fået henvendelser, og der er sendt reminder ud.</w:t>
      </w:r>
    </w:p>
    <w:p w14:paraId="5FB84D41" w14:textId="77777777" w:rsidR="004E32B2" w:rsidRPr="00B454B1" w:rsidRDefault="004E32B2" w:rsidP="004E32B2">
      <w:pPr>
        <w:pStyle w:val="Listeafsnit"/>
        <w:numPr>
          <w:ilvl w:val="1"/>
          <w:numId w:val="1"/>
        </w:numPr>
        <w:rPr>
          <w:b/>
          <w:bCs/>
        </w:rPr>
      </w:pPr>
      <w:r w:rsidRPr="00B454B1">
        <w:rPr>
          <w:b/>
          <w:bCs/>
        </w:rPr>
        <w:t>Status på kurser – herunder drøftelse af hjemmesiden for kurser på andre institutioner</w:t>
      </w:r>
    </w:p>
    <w:p w14:paraId="43744CEF" w14:textId="5865E965" w:rsidR="004E32B2" w:rsidRDefault="004E32B2" w:rsidP="004E32B2">
      <w:r>
        <w:t>Hjemmesiden for kurser på andre institutioner virker ikke særligt godt – og det er uvist, hvem, der har ansvaret. Det er ikke alle vore kurser, der bliver offentliggjort her. Programrådet skal eksplicit sige, at man ønsker et kursus offentliggjort.</w:t>
      </w:r>
      <w:r w:rsidR="003D7F3E">
        <w:t xml:space="preserve"> Flg. </w:t>
      </w:r>
      <w:r w:rsidR="00B454B1">
        <w:t xml:space="preserve">generiske </w:t>
      </w:r>
      <w:r w:rsidR="003D7F3E">
        <w:t>kurser er på vej:</w:t>
      </w:r>
    </w:p>
    <w:p w14:paraId="1D19F4DC" w14:textId="0FED1D3F" w:rsidR="003D7F3E" w:rsidRPr="00D2692D" w:rsidRDefault="003D7F3E" w:rsidP="00D2692D">
      <w:pPr>
        <w:pStyle w:val="Listeafsnit"/>
        <w:numPr>
          <w:ilvl w:val="0"/>
          <w:numId w:val="4"/>
        </w:numPr>
        <w:rPr>
          <w:lang w:val="en-US"/>
        </w:rPr>
      </w:pPr>
      <w:r w:rsidRPr="003D7F3E">
        <w:rPr>
          <w:lang w:val="en-US"/>
        </w:rPr>
        <w:t>Becoming a researcher (</w:t>
      </w:r>
      <w:proofErr w:type="spellStart"/>
      <w:r w:rsidRPr="003D7F3E">
        <w:rPr>
          <w:lang w:val="en-US"/>
        </w:rPr>
        <w:t>kadence</w:t>
      </w:r>
      <w:proofErr w:type="spellEnd"/>
      <w:r w:rsidRPr="003D7F3E">
        <w:rPr>
          <w:lang w:val="en-US"/>
        </w:rPr>
        <w:t xml:space="preserve">: </w:t>
      </w:r>
      <w:proofErr w:type="spellStart"/>
      <w:r>
        <w:rPr>
          <w:lang w:val="en-US"/>
        </w:rPr>
        <w:t>udbydes</w:t>
      </w:r>
      <w:proofErr w:type="spellEnd"/>
      <w:r>
        <w:rPr>
          <w:lang w:val="en-US"/>
        </w:rPr>
        <w:t xml:space="preserve"> med 2½</w:t>
      </w:r>
      <w:r w:rsidR="005D742D">
        <w:rPr>
          <w:lang w:val="en-US"/>
        </w:rPr>
        <w:t xml:space="preserve"> </w:t>
      </w:r>
      <w:proofErr w:type="spellStart"/>
      <w:r w:rsidR="005D742D">
        <w:rPr>
          <w:lang w:val="en-US"/>
        </w:rPr>
        <w:t>års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mellemrum</w:t>
      </w:r>
      <w:proofErr w:type="spellEnd"/>
      <w:r>
        <w:rPr>
          <w:lang w:val="en-US"/>
        </w:rPr>
        <w:t>)</w:t>
      </w:r>
    </w:p>
    <w:p w14:paraId="405C084E" w14:textId="163A9281" w:rsidR="003D7F3E" w:rsidRDefault="003D7F3E" w:rsidP="003D7F3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Academic English writing</w:t>
      </w:r>
    </w:p>
    <w:p w14:paraId="60132E36" w14:textId="08E7A94B" w:rsidR="003D7F3E" w:rsidRDefault="003D7F3E" w:rsidP="003D7F3E">
      <w:pPr>
        <w:pStyle w:val="Listeafsnit"/>
        <w:numPr>
          <w:ilvl w:val="0"/>
          <w:numId w:val="4"/>
        </w:numPr>
      </w:pPr>
      <w:r w:rsidRPr="003D7F3E">
        <w:t xml:space="preserve">Statistik. Kurset gennemføres med </w:t>
      </w:r>
      <w:r>
        <w:t>4 deltagere.</w:t>
      </w:r>
    </w:p>
    <w:p w14:paraId="3A565F03" w14:textId="0D7A02DC" w:rsidR="003D7F3E" w:rsidRDefault="003D7F3E" w:rsidP="003D7F3E">
      <w:pPr>
        <w:pStyle w:val="Listeafsnit"/>
        <w:numPr>
          <w:ilvl w:val="0"/>
          <w:numId w:val="4"/>
        </w:numPr>
      </w:pPr>
      <w:r>
        <w:t>Vejlederkurset. Her henvises til det centrale kursus, og først næste år vil HUM muligvis udbyde sit eget</w:t>
      </w:r>
    </w:p>
    <w:p w14:paraId="1CCC7762" w14:textId="58B7BE9A" w:rsidR="003D7F3E" w:rsidRDefault="003D7F3E" w:rsidP="003D7F3E">
      <w:pPr>
        <w:pStyle w:val="Listeafsnit"/>
        <w:numPr>
          <w:ilvl w:val="0"/>
          <w:numId w:val="4"/>
        </w:numPr>
      </w:pPr>
      <w:r>
        <w:t>Undgå plagiat</w:t>
      </w:r>
      <w:r w:rsidR="00B454B1">
        <w:t xml:space="preserve"> og selvplagiat</w:t>
      </w:r>
    </w:p>
    <w:p w14:paraId="1C17FDE7" w14:textId="1C591364" w:rsidR="00B454B1" w:rsidRDefault="00B454B1" w:rsidP="00B454B1">
      <w:r>
        <w:t>For de generiske kurser, skal vi overveje, hvor mange tilmeldte, der skal være, for at kurset gennemføres. For FUP-kurserne er dette op til FUP-lederen.</w:t>
      </w:r>
    </w:p>
    <w:p w14:paraId="2049B1C8" w14:textId="32B2D4B0" w:rsidR="00B454B1" w:rsidRDefault="00B454B1" w:rsidP="00B454B1">
      <w:r>
        <w:t>MB foreslog, at man på hvert møde fik præsenteret en oversigt over forbrugte midler i programmerne og ph.d.-skolen. Udvalget tilsluttede sig idéen.</w:t>
      </w:r>
    </w:p>
    <w:p w14:paraId="39251CF6" w14:textId="77777777" w:rsidR="003D7F3E" w:rsidRPr="003D7F3E" w:rsidRDefault="003D7F3E" w:rsidP="003D7F3E"/>
    <w:p w14:paraId="5199BB73" w14:textId="119628F3" w:rsidR="00145743" w:rsidRPr="00962B2D" w:rsidRDefault="00145743" w:rsidP="00145743">
      <w:pPr>
        <w:pStyle w:val="Listeafsnit"/>
        <w:numPr>
          <w:ilvl w:val="1"/>
          <w:numId w:val="1"/>
        </w:numPr>
        <w:rPr>
          <w:b/>
          <w:bCs/>
        </w:rPr>
      </w:pPr>
      <w:r w:rsidRPr="00962B2D">
        <w:rPr>
          <w:b/>
          <w:bCs/>
        </w:rPr>
        <w:lastRenderedPageBreak/>
        <w:t>Omstrukturering af ph.d.-skolen</w:t>
      </w:r>
    </w:p>
    <w:p w14:paraId="48ADB0EB" w14:textId="3369D410" w:rsidR="00B454B1" w:rsidRDefault="005D742D" w:rsidP="00B454B1">
      <w:r>
        <w:t xml:space="preserve">Da ph.d.-skolen nu indskriver væsentligt færre studerende, overvejes det at ændre i skolens struktur. Formanden for </w:t>
      </w:r>
      <w:proofErr w:type="spellStart"/>
      <w:r>
        <w:t>ph.d.-K</w:t>
      </w:r>
      <w:proofErr w:type="spellEnd"/>
      <w:r>
        <w:t xml:space="preserve"> Per Krogh Hansen og ph.d.-skolelederen er i dialog og arbejder på et udspil, der skal sendes til institutlederne. Antallet af programmer og fordelingen af ansvar</w:t>
      </w:r>
      <w:r w:rsidR="00836041">
        <w:t>/økonomi</w:t>
      </w:r>
      <w:r>
        <w:t xml:space="preserve"> mellem institut og ph.d.-skole er i spil. LK mente, at forandringsprocessen skulle under</w:t>
      </w:r>
      <w:r w:rsidR="00836041">
        <w:t>støttes</w:t>
      </w:r>
      <w:r>
        <w:t xml:space="preserve"> af en trivselsundersøgelse, således at eventuelle ændringer ikke går ud over stipendiaternes trivsel.</w:t>
      </w:r>
    </w:p>
    <w:p w14:paraId="1A7F6341" w14:textId="2D4A9212" w:rsidR="00836041" w:rsidRDefault="00836041" w:rsidP="00B454B1">
      <w:r>
        <w:t>ND mindede om, at det i denne proces er vigtigt at huske miljøerne udenfor Odense.</w:t>
      </w:r>
    </w:p>
    <w:p w14:paraId="20D27E8E" w14:textId="46F23C08" w:rsidR="00DF718E" w:rsidRDefault="00DF718E" w:rsidP="00B454B1">
      <w:r>
        <w:t>Udvalget mente desuden, at når der så få åbne stipendier, kunne udvalget måske med fordel lave et notat, som beskriver principper for den gode proces ved ansættelser.</w:t>
      </w:r>
    </w:p>
    <w:p w14:paraId="50D6B5C5" w14:textId="28C581B3" w:rsidR="00145743" w:rsidRPr="00BB3F9B" w:rsidRDefault="00145743" w:rsidP="0014574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BB3F9B">
        <w:rPr>
          <w:b/>
          <w:bCs/>
          <w:sz w:val="28"/>
          <w:szCs w:val="28"/>
        </w:rPr>
        <w:t>Plagiat</w:t>
      </w:r>
    </w:p>
    <w:p w14:paraId="3C0D8812" w14:textId="55F5DEF7" w:rsidR="00145743" w:rsidRPr="00BB3F9B" w:rsidRDefault="00145743" w:rsidP="00145743">
      <w:pPr>
        <w:pStyle w:val="Listeafsnit"/>
        <w:numPr>
          <w:ilvl w:val="1"/>
          <w:numId w:val="1"/>
        </w:numPr>
        <w:rPr>
          <w:b/>
          <w:bCs/>
        </w:rPr>
      </w:pPr>
      <w:r w:rsidRPr="00BB3F9B">
        <w:rPr>
          <w:b/>
          <w:bCs/>
        </w:rPr>
        <w:t>Retningslinjer for plagiattjek</w:t>
      </w:r>
    </w:p>
    <w:p w14:paraId="54777E53" w14:textId="0304A75D" w:rsidR="00DF718E" w:rsidRDefault="00DF718E" w:rsidP="00DF718E">
      <w:r>
        <w:t>Udvalget tog stilling til retningslinjerne, der er udformet af Lasse Østengaard fra Biblioteket. Man besluttede, at de skal offentliggøres på hjemmesiden.</w:t>
      </w:r>
    </w:p>
    <w:p w14:paraId="5AED58EB" w14:textId="7E6B2386" w:rsidR="00145743" w:rsidRPr="00BB3F9B" w:rsidRDefault="00145743" w:rsidP="00145743">
      <w:pPr>
        <w:pStyle w:val="Listeafsnit"/>
        <w:numPr>
          <w:ilvl w:val="1"/>
          <w:numId w:val="1"/>
        </w:numPr>
        <w:rPr>
          <w:b/>
          <w:bCs/>
        </w:rPr>
      </w:pPr>
      <w:r w:rsidRPr="00BB3F9B">
        <w:rPr>
          <w:b/>
          <w:bCs/>
        </w:rPr>
        <w:t>Obligatorisk plagiattjek</w:t>
      </w:r>
    </w:p>
    <w:p w14:paraId="6F3EC07E" w14:textId="64954378" w:rsidR="002E6A7D" w:rsidRDefault="002E6A7D" w:rsidP="002E6A7D">
      <w:r>
        <w:t>Udvalget diskuterede, om de</w:t>
      </w:r>
      <w:r w:rsidR="00315505">
        <w:t>t</w:t>
      </w:r>
      <w:r>
        <w:t xml:space="preserve"> nu frivillige plagiattjek skal gøres obligatorisk. Der var delte meninger, men et flertal besluttede, at det fremover skal være obligatorisk.</w:t>
      </w:r>
    </w:p>
    <w:p w14:paraId="7A2E0191" w14:textId="6D645F42" w:rsidR="00145743" w:rsidRPr="00BB3F9B" w:rsidRDefault="00757251" w:rsidP="0014574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BB3F9B">
        <w:rPr>
          <w:b/>
          <w:bCs/>
          <w:sz w:val="28"/>
          <w:szCs w:val="28"/>
        </w:rPr>
        <w:t>Trivsel</w:t>
      </w:r>
    </w:p>
    <w:p w14:paraId="3EA75426" w14:textId="24E951FF" w:rsidR="00757251" w:rsidRPr="00BB3F9B" w:rsidRDefault="00757251" w:rsidP="00757251">
      <w:pPr>
        <w:pStyle w:val="Listeafsnit"/>
        <w:numPr>
          <w:ilvl w:val="1"/>
          <w:numId w:val="1"/>
        </w:numPr>
        <w:rPr>
          <w:b/>
          <w:bCs/>
        </w:rPr>
      </w:pPr>
      <w:r w:rsidRPr="00BB3F9B">
        <w:rPr>
          <w:b/>
          <w:bCs/>
        </w:rPr>
        <w:t>Opsamling på punktet fra forrige møde</w:t>
      </w:r>
    </w:p>
    <w:p w14:paraId="25FB7A2E" w14:textId="5EA768C0" w:rsidR="002E6A7D" w:rsidRDefault="002E6A7D" w:rsidP="002E6A7D">
      <w:r>
        <w:t xml:space="preserve">Initiativet med månedlige frokoster – den første tirsdag i hver måned – er nu sat i værk. De afholdes både i Odense og Kolding, og LK forsøger at deltage begge steder. </w:t>
      </w:r>
    </w:p>
    <w:p w14:paraId="576A7BAB" w14:textId="4699AAC4" w:rsidR="00E26BAB" w:rsidRDefault="00E26BAB" w:rsidP="002E6A7D">
      <w:r>
        <w:t xml:space="preserve">Udvalget vil lave en ny trivselsundersøgelse og der blev nedsat et udvalg til udformning og gennemførelse af en sådan. Udvalget består af LK, CS og ID fra </w:t>
      </w:r>
      <w:proofErr w:type="spellStart"/>
      <w:r>
        <w:t>ph.d.-udvalget</w:t>
      </w:r>
      <w:proofErr w:type="spellEnd"/>
      <w:r>
        <w:t xml:space="preserve"> samt coach Nina Nørgaard. Arbejdet starter efter sommerferien.</w:t>
      </w:r>
    </w:p>
    <w:p w14:paraId="23E480C4" w14:textId="410D52ED" w:rsidR="00E26BAB" w:rsidRPr="00E26BAB" w:rsidRDefault="00E26BAB" w:rsidP="002E6A7D">
      <w:r w:rsidRPr="00E26BAB">
        <w:t>Coach Nina Nørgaard vil desud</w:t>
      </w:r>
      <w:r>
        <w:t>en fremover blive inviteret til at deltage i velkomstsessionerne, således at trivselsperspektivet kommer mere i fokus.</w:t>
      </w:r>
    </w:p>
    <w:p w14:paraId="61D5B5B8" w14:textId="660AAB99" w:rsidR="00757251" w:rsidRPr="00BB3F9B" w:rsidRDefault="00757251" w:rsidP="00757251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BB3F9B">
        <w:rPr>
          <w:b/>
          <w:bCs/>
          <w:sz w:val="28"/>
          <w:szCs w:val="28"/>
        </w:rPr>
        <w:t>Sager</w:t>
      </w:r>
    </w:p>
    <w:p w14:paraId="4265F110" w14:textId="430FA5F7" w:rsidR="00757251" w:rsidRDefault="00757251" w:rsidP="00757251">
      <w:pPr>
        <w:pStyle w:val="Listeafsnit"/>
        <w:numPr>
          <w:ilvl w:val="1"/>
          <w:numId w:val="1"/>
        </w:numPr>
      </w:pPr>
      <w:r>
        <w:t xml:space="preserve">Godkendelse af </w:t>
      </w:r>
      <w:proofErr w:type="spellStart"/>
      <w:r>
        <w:t>ph.d.-plan</w:t>
      </w:r>
      <w:proofErr w:type="spellEnd"/>
      <w:r>
        <w:t xml:space="preserve"> – </w:t>
      </w:r>
      <w:r w:rsidR="005E341D">
        <w:t>22/3359</w:t>
      </w:r>
    </w:p>
    <w:p w14:paraId="74C189A4" w14:textId="2D9947CF" w:rsidR="00E26BAB" w:rsidRDefault="00E26BAB" w:rsidP="00E26BAB">
      <w:proofErr w:type="spellStart"/>
      <w:r>
        <w:t>Ph.d.-planen</w:t>
      </w:r>
      <w:proofErr w:type="spellEnd"/>
      <w:r>
        <w:t xml:space="preserve"> blev godkendt.</w:t>
      </w:r>
    </w:p>
    <w:p w14:paraId="7F1604DD" w14:textId="54B03DB9" w:rsidR="00757251" w:rsidRDefault="00757251" w:rsidP="00757251">
      <w:pPr>
        <w:pStyle w:val="Listeafsnit"/>
        <w:numPr>
          <w:ilvl w:val="1"/>
          <w:numId w:val="1"/>
        </w:numPr>
      </w:pPr>
      <w:r>
        <w:t xml:space="preserve">Diskussion af </w:t>
      </w:r>
      <w:proofErr w:type="spellStart"/>
      <w:r>
        <w:t>ph.d.-plan</w:t>
      </w:r>
      <w:proofErr w:type="spellEnd"/>
      <w:r>
        <w:t xml:space="preserve"> – </w:t>
      </w:r>
      <w:r w:rsidR="005E341D">
        <w:t>22/1676</w:t>
      </w:r>
    </w:p>
    <w:p w14:paraId="08E1EDB9" w14:textId="4D725BB2" w:rsidR="00040CFA" w:rsidRDefault="005E341D" w:rsidP="00040CFA">
      <w:r>
        <w:t>LK skulle oprindeligt have været hovedvejleder, men kan ikke være det efter at hun blev ph.d.-skoleleder. Løsningen blev, at LK uddelegerer skolelederopgaverne i forhold til denne konkrete stipendiat til ND, og derefter kan LK fungere som hovedvejleder.</w:t>
      </w:r>
      <w:r w:rsidR="00D2692D">
        <w:t xml:space="preserve"> Der tildeles desuden en intern </w:t>
      </w:r>
      <w:proofErr w:type="spellStart"/>
      <w:r w:rsidR="00D2692D">
        <w:t>bivejleder</w:t>
      </w:r>
      <w:proofErr w:type="spellEnd"/>
      <w:r w:rsidR="00D2692D">
        <w:t>.</w:t>
      </w:r>
      <w:r>
        <w:t xml:space="preserve"> Der </w:t>
      </w:r>
      <w:r w:rsidR="00315505">
        <w:t>indkaldes</w:t>
      </w:r>
      <w:r>
        <w:t xml:space="preserve"> ændret </w:t>
      </w:r>
      <w:proofErr w:type="spellStart"/>
      <w:r>
        <w:t>ph.d.-plan</w:t>
      </w:r>
      <w:proofErr w:type="spellEnd"/>
      <w:r>
        <w:t xml:space="preserve"> til godkendelse.</w:t>
      </w:r>
    </w:p>
    <w:p w14:paraId="1C89F581" w14:textId="5CA7D25E" w:rsidR="00757251" w:rsidRPr="00BB3F9B" w:rsidRDefault="00757251" w:rsidP="00757251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BB3F9B">
        <w:rPr>
          <w:b/>
          <w:bCs/>
          <w:sz w:val="28"/>
          <w:szCs w:val="28"/>
        </w:rPr>
        <w:t>Eventuelt</w:t>
      </w:r>
    </w:p>
    <w:p w14:paraId="2D3E362B" w14:textId="53E10CF7" w:rsidR="005E341D" w:rsidRDefault="005E341D" w:rsidP="005E341D">
      <w:r>
        <w:lastRenderedPageBreak/>
        <w:t xml:space="preserve">ND ønskede, at udvalget på </w:t>
      </w:r>
      <w:r w:rsidR="00962B2D">
        <w:t>d</w:t>
      </w:r>
      <w:r>
        <w:t>et kommende møde diskutere</w:t>
      </w:r>
      <w:r w:rsidR="00962B2D">
        <w:t>r</w:t>
      </w:r>
      <w:r>
        <w:t xml:space="preserve">, om </w:t>
      </w:r>
      <w:r w:rsidR="00962B2D">
        <w:t>PI</w:t>
      </w:r>
      <w:r>
        <w:t xml:space="preserve"> (</w:t>
      </w:r>
      <w:r w:rsidR="00962B2D">
        <w:t>P</w:t>
      </w:r>
      <w:r>
        <w:t>rincip</w:t>
      </w:r>
      <w:r w:rsidR="00962B2D">
        <w:t>al</w:t>
      </w:r>
      <w:r>
        <w:t xml:space="preserve"> </w:t>
      </w:r>
      <w:proofErr w:type="spellStart"/>
      <w:r w:rsidR="00962B2D">
        <w:t>I</w:t>
      </w:r>
      <w:r>
        <w:t>nvestigator</w:t>
      </w:r>
      <w:proofErr w:type="spellEnd"/>
      <w:r>
        <w:t>)</w:t>
      </w:r>
      <w:r w:rsidR="00962B2D">
        <w:t xml:space="preserve"> på et projekt kan fungere som hovedvejleder. </w:t>
      </w:r>
    </w:p>
    <w:p w14:paraId="7BBB48C7" w14:textId="6BEA6354" w:rsidR="00962B2D" w:rsidRDefault="00962B2D" w:rsidP="005E341D">
      <w:r>
        <w:t xml:space="preserve">Den nye normaftale gør, at undervisningen på et </w:t>
      </w:r>
      <w:proofErr w:type="spellStart"/>
      <w:r>
        <w:t>ph.d.-kursus</w:t>
      </w:r>
      <w:proofErr w:type="spellEnd"/>
      <w:r>
        <w:t xml:space="preserve"> får lavere kompensation, da den ikke efterfølges af eksamen. Udvalget</w:t>
      </w:r>
      <w:r w:rsidR="00315505">
        <w:t>s medlemmer er opmærksomme på eventuelle problemer ved rekvisition af undervisere.</w:t>
      </w:r>
    </w:p>
    <w:p w14:paraId="6FA8338E" w14:textId="7A6375F8" w:rsidR="00145743" w:rsidRDefault="00145743" w:rsidP="00145743">
      <w:pPr>
        <w:ind w:left="360"/>
      </w:pPr>
    </w:p>
    <w:sectPr w:rsidR="001457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9C3"/>
    <w:multiLevelType w:val="hybridMultilevel"/>
    <w:tmpl w:val="22629090"/>
    <w:lvl w:ilvl="0" w:tplc="C492B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07BF"/>
    <w:multiLevelType w:val="hybridMultilevel"/>
    <w:tmpl w:val="976A6D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A26340"/>
    <w:multiLevelType w:val="hybridMultilevel"/>
    <w:tmpl w:val="023887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072EF"/>
    <w:multiLevelType w:val="hybridMultilevel"/>
    <w:tmpl w:val="4A68E206"/>
    <w:lvl w:ilvl="0" w:tplc="919A61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61690">
    <w:abstractNumId w:val="2"/>
  </w:num>
  <w:num w:numId="2" w16cid:durableId="300042201">
    <w:abstractNumId w:val="3"/>
  </w:num>
  <w:num w:numId="3" w16cid:durableId="1643147234">
    <w:abstractNumId w:val="1"/>
  </w:num>
  <w:num w:numId="4" w16cid:durableId="30929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43"/>
    <w:rsid w:val="00040CFA"/>
    <w:rsid w:val="00145743"/>
    <w:rsid w:val="001CB07D"/>
    <w:rsid w:val="0027767D"/>
    <w:rsid w:val="002E6A7D"/>
    <w:rsid w:val="00315505"/>
    <w:rsid w:val="003C5319"/>
    <w:rsid w:val="003D7F3E"/>
    <w:rsid w:val="00436850"/>
    <w:rsid w:val="004E32B2"/>
    <w:rsid w:val="004F1702"/>
    <w:rsid w:val="005702F9"/>
    <w:rsid w:val="00592792"/>
    <w:rsid w:val="005D742D"/>
    <w:rsid w:val="005E341D"/>
    <w:rsid w:val="00757251"/>
    <w:rsid w:val="00836041"/>
    <w:rsid w:val="00962B2D"/>
    <w:rsid w:val="00B454B1"/>
    <w:rsid w:val="00BB3F9B"/>
    <w:rsid w:val="00C25637"/>
    <w:rsid w:val="00D23E34"/>
    <w:rsid w:val="00D2692D"/>
    <w:rsid w:val="00DF718E"/>
    <w:rsid w:val="00E26BAB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2871"/>
  <w15:chartTrackingRefBased/>
  <w15:docId w15:val="{2D284D9E-CE62-467A-90E2-7928D45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45743"/>
  </w:style>
  <w:style w:type="character" w:customStyle="1" w:styleId="eop">
    <w:name w:val="eop"/>
    <w:basedOn w:val="Standardskrifttypeiafsnit"/>
    <w:rsid w:val="00145743"/>
  </w:style>
  <w:style w:type="paragraph" w:styleId="Listeafsnit">
    <w:name w:val="List Paragraph"/>
    <w:basedOn w:val="Normal"/>
    <w:uiPriority w:val="34"/>
    <w:qFormat/>
    <w:rsid w:val="0014574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F17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17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17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17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1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28A9174901F4EA7D2039A455A6F9F" ma:contentTypeVersion="12" ma:contentTypeDescription="Create a new document." ma:contentTypeScope="" ma:versionID="c73b6927396f876b6ce83e1659f05a6c">
  <xsd:schema xmlns:xsd="http://www.w3.org/2001/XMLSchema" xmlns:xs="http://www.w3.org/2001/XMLSchema" xmlns:p="http://schemas.microsoft.com/office/2006/metadata/properties" xmlns:ns2="eec8d150-f265-4ed9-86f5-aabfa1aab751" xmlns:ns3="9d6e2953-2fa0-42c4-a262-bc4fa0d76160" targetNamespace="http://schemas.microsoft.com/office/2006/metadata/properties" ma:root="true" ma:fieldsID="662d95083982a1420af885668ed8ebe9" ns2:_="" ns3:_="">
    <xsd:import namespace="eec8d150-f265-4ed9-86f5-aabfa1aab751"/>
    <xsd:import namespace="9d6e2953-2fa0-42c4-a262-bc4fa0d76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d150-f265-4ed9-86f5-aabfa1aab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2953-2fa0-42c4-a262-bc4fa0d7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A1F96-E221-43F8-85F6-432414E84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4C2FB-5620-4EC8-A2DD-963F16D7D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D5B0B-E9CD-4F20-B09D-EA07E6BA0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d150-f265-4ed9-86f5-aabfa1aab751"/>
    <ds:schemaRef ds:uri="9d6e2953-2fa0-42c4-a262-bc4fa0d76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2</cp:revision>
  <dcterms:created xsi:type="dcterms:W3CDTF">2022-05-19T08:05:00Z</dcterms:created>
  <dcterms:modified xsi:type="dcterms:W3CDTF">2022-05-19T08:05:00Z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{33BFAE8B-A6AB-44B0-89E7-E17DB77F5185}</vt:lpwstr>
  </property>
  <property fmtid="{D5CDD505-2E9C-101B-9397-08002B2CF9AE}" pid="3" name="ContentTypeId">
    <vt:lpwstr>0x01010001428A9174901F4EA7D2039A455A6F9F</vt:lpwstr>
  </property>
</Properties>
</file>