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83" w:rsidRPr="009E5D83" w:rsidRDefault="009E5D83" w:rsidP="009E5D83">
      <w:pPr>
        <w:pStyle w:val="Titel"/>
        <w:rPr>
          <w:sz w:val="28"/>
          <w:szCs w:val="28"/>
        </w:rPr>
      </w:pPr>
      <w:r w:rsidRPr="009E5D83">
        <w:rPr>
          <w:sz w:val="28"/>
          <w:szCs w:val="28"/>
        </w:rPr>
        <w:t>Notat om populationsovervejelser i forbindelse med undersøgelse af studerendes studie og undervisningsmiljø</w:t>
      </w:r>
      <w:r w:rsidR="003D517D">
        <w:rPr>
          <w:sz w:val="28"/>
          <w:szCs w:val="28"/>
        </w:rPr>
        <w:t>; herunder håndtering af deltidsstuderende og heltidsstuderende i undersøgelsen UMV2010</w:t>
      </w:r>
    </w:p>
    <w:p w:rsidR="009E5D83" w:rsidRDefault="00B81AC4" w:rsidP="00B81AC4">
      <w:r>
        <w:t>I forbindelse med udvikling af undersøgelsen af studie- og undervisningsmiljøvurdering 2010 er der rejst forslag om at undersøgelsen samtidig dækker deltidsstuderende.</w:t>
      </w:r>
    </w:p>
    <w:p w:rsidR="00B81AC4" w:rsidRDefault="003D517D" w:rsidP="00B81AC4">
      <w:r>
        <w:t>Et væsentligt argument for en sådan inddragelse er, at de deltidsstuderende har andre intensioner i deres uddannelsesforløb, uddannelsesforløbet foregår under lidt andre fysiske rammer; ikke mindst udenfor normal åbningstid og gruppen er økonomisk attraktiv for universitetet</w:t>
      </w:r>
      <w:r w:rsidR="00EB6C14" w:rsidRPr="00EB6C14">
        <w:t xml:space="preserve"> </w:t>
      </w:r>
      <w:r w:rsidR="00EB6C14">
        <w:t>samtidig med at vi befinder os i en øget konkurrencesituation når det gælder andre efteruddannelsesudbydere</w:t>
      </w:r>
    </w:p>
    <w:p w:rsidR="003D517D" w:rsidRPr="00B81AC4" w:rsidRDefault="003D517D" w:rsidP="00B81AC4">
      <w:r>
        <w:t>Nedenfor er redegjort for kravene til inddragelse af forskellige populationer samt konkret forslag til hvordan loven sikres opfyldt.</w:t>
      </w:r>
    </w:p>
    <w:p w:rsidR="00721771" w:rsidRPr="00721771" w:rsidRDefault="00721771" w:rsidP="00721771">
      <w:pPr>
        <w:pStyle w:val="Overskrift1"/>
        <w:rPr>
          <w:sz w:val="24"/>
          <w:szCs w:val="24"/>
        </w:rPr>
      </w:pPr>
      <w:r w:rsidRPr="00721771">
        <w:rPr>
          <w:sz w:val="24"/>
          <w:szCs w:val="24"/>
        </w:rPr>
        <w:t>Krav i lovgivning om undervisningsmiljø</w:t>
      </w:r>
    </w:p>
    <w:p w:rsidR="00721771" w:rsidRDefault="004A4775" w:rsidP="009E5D83">
      <w:r w:rsidRPr="009E5D83">
        <w:t xml:space="preserve">I medfør af Undervisningsministeriets lov om undervisningsmiljø stilles der krav om at universiteterne skal gennemføre undervisningsmiljøvurdering. </w:t>
      </w:r>
      <w:r w:rsidRPr="009E5D83">
        <w:br/>
      </w:r>
      <w:r w:rsidRPr="009E5D83">
        <w:br/>
        <w:t xml:space="preserve">Lovteksten formulerer sig ret omfangsrigt: ”§ 1. Elever, studerende og andre deltagere i offentlig og privat undervisning har ret til et godt undervisningsmiljø” </w:t>
      </w:r>
      <w:r w:rsidR="009E5D83">
        <w:t xml:space="preserve">og ”§6. </w:t>
      </w:r>
      <w:r w:rsidR="009E5D83" w:rsidRPr="009E5D83">
        <w:t>Uddannelsesstedets ledelse sørger for, at der udarbejdes en skriftlig undervisningsmiljøvurdering af sikkerheds- og sundhedsforholdene samt forholdene vedrørende det psykiske og æstetiske miljø på uddannelsesstedet.</w:t>
      </w:r>
      <w:r w:rsidR="009E5D83">
        <w:t xml:space="preserve">” </w:t>
      </w:r>
      <w:r w:rsidRPr="009E5D83">
        <w:t xml:space="preserve">jf lovtekst: </w:t>
      </w:r>
      <w:hyperlink r:id="rId5" w:tgtFrame="_blank" w:tooltip="New window will open" w:history="1">
        <w:r w:rsidRPr="009E5D83">
          <w:rPr>
            <w:rStyle w:val="Hyperlink"/>
            <w:rFonts w:cs="Arial"/>
          </w:rPr>
          <w:t>http://webarkiv.ft.dk/?/samling/20001/lovforslag_som_vedtaget/l40.htm</w:t>
        </w:r>
      </w:hyperlink>
      <w:r w:rsidR="009E5D83" w:rsidRPr="009E5D83">
        <w:t xml:space="preserve"> </w:t>
      </w:r>
      <w:r w:rsidRPr="009E5D83">
        <w:br/>
      </w:r>
      <w:r w:rsidRPr="009E5D83">
        <w:br/>
        <w:t>Ole Juhl, D</w:t>
      </w:r>
      <w:r w:rsidR="009E5D83">
        <w:t xml:space="preserve">ansk </w:t>
      </w:r>
      <w:r w:rsidRPr="009E5D83">
        <w:t>C</w:t>
      </w:r>
      <w:r w:rsidR="009E5D83">
        <w:t xml:space="preserve">enter for </w:t>
      </w:r>
      <w:r w:rsidRPr="009E5D83">
        <w:t>U</w:t>
      </w:r>
      <w:r w:rsidR="009E5D83">
        <w:t>ndervisningsmiljø, DCUM</w:t>
      </w:r>
      <w:r w:rsidRPr="009E5D83">
        <w:t xml:space="preserve"> oplyser, at Kravet om UMV gælder for alle ”typer” studerende, når de er på universitetets matrikel, men altså ikke studievilkårene udenfor studiestedet.</w:t>
      </w:r>
    </w:p>
    <w:p w:rsidR="009E5D83" w:rsidRDefault="00721771" w:rsidP="009E5D83">
      <w:r>
        <w:t>Loven giver i lighed med Arbejdstilsynets krav om de ansattes arbejdspladsvurdering</w:t>
      </w:r>
      <w:r w:rsidR="004A4775" w:rsidRPr="009E5D83">
        <w:t xml:space="preserve"> </w:t>
      </w:r>
      <w:r>
        <w:t>metodefrihed i kortlægningen. Kortlægningen skal være dækkende og omfatte det fysiske, psykiske og æstetiske studiemiljø. Der er ingen specifikke krav om hvorvidt undervisningsmiljøet skal kortlægges centralt eller decentralt efter samme eller forskellig model og der er ingen krav om at hver enkelt studerende spørges. Blot altså at studieforholdene er undersøgt.</w:t>
      </w:r>
    </w:p>
    <w:p w:rsidR="00721771" w:rsidRDefault="004A4775" w:rsidP="00721771">
      <w:r w:rsidRPr="009E5D83">
        <w:br/>
      </w:r>
      <w:r w:rsidR="009E5D83" w:rsidRPr="009E5D83">
        <w:t xml:space="preserve">KU har tidligere medtaget deltidsstuderende, </w:t>
      </w:r>
      <w:r w:rsidR="0037501C">
        <w:t>hvor der dog ikke fremkom nævneværdige særresultater</w:t>
      </w:r>
      <w:r w:rsidR="009E5D83" w:rsidRPr="009E5D83">
        <w:t>.</w:t>
      </w:r>
    </w:p>
    <w:p w:rsidR="003D517D" w:rsidRDefault="003D517D" w:rsidP="00721771">
      <w:r>
        <w:t xml:space="preserve">Der er kortfattet tale om en udvidelse af </w:t>
      </w:r>
      <w:r w:rsidR="003F3ABD">
        <w:t xml:space="preserve">populationen </w:t>
      </w:r>
      <w:r>
        <w:t>i forhold til undersøgelserne UMV2004 og UMV2007 med deltidsstuderende med en elektronisk parallelundersøgelse (minisurvey) af maksimalt 10 minu</w:t>
      </w:r>
      <w:r w:rsidR="009B455F">
        <w:t>tters varig</w:t>
      </w:r>
      <w:r>
        <w:t>hed.</w:t>
      </w:r>
    </w:p>
    <w:p w:rsidR="009B455F" w:rsidRDefault="009B455F" w:rsidP="00721771">
      <w:r>
        <w:t xml:space="preserve">Forslaget indebærer et ekstra ressourceforbrug </w:t>
      </w:r>
      <w:r w:rsidR="00EB6C14">
        <w:t>til i</w:t>
      </w:r>
      <w:r w:rsidR="003F3ABD">
        <w:t xml:space="preserve">dentifikation og udtræk af denne gruppe respondenter fra det studieadministrative system og </w:t>
      </w:r>
      <w:r>
        <w:t>i form af ekstra studentermedhjælpstimer til analyse og afrapporteringsarbejde. Administrativt merforbrug søges begrænset maksimalt ved at de 2 minisurveys gennemføres sideløbende.</w:t>
      </w:r>
    </w:p>
    <w:p w:rsidR="009E5D83" w:rsidRPr="00721771" w:rsidRDefault="009E5D83" w:rsidP="00721771">
      <w:pPr>
        <w:pStyle w:val="Overskrift1"/>
        <w:rPr>
          <w:sz w:val="24"/>
          <w:szCs w:val="24"/>
        </w:rPr>
      </w:pPr>
      <w:r w:rsidRPr="00721771">
        <w:rPr>
          <w:sz w:val="24"/>
          <w:szCs w:val="24"/>
        </w:rPr>
        <w:t>Populationsovervejelse</w:t>
      </w:r>
      <w:r w:rsidR="004A4775" w:rsidRPr="00721771">
        <w:rPr>
          <w:sz w:val="24"/>
          <w:szCs w:val="24"/>
        </w:rPr>
        <w:t xml:space="preserve"> </w:t>
      </w:r>
      <w:r w:rsidRPr="00721771">
        <w:rPr>
          <w:sz w:val="24"/>
          <w:szCs w:val="24"/>
        </w:rPr>
        <w:t>på SDU</w:t>
      </w:r>
    </w:p>
    <w:p w:rsidR="009E5D83" w:rsidRDefault="009E5D83" w:rsidP="009E5D83">
      <w:r>
        <w:t>De studerende kan inddeles iht. indskrivningshjemlen i følgende grupper:</w:t>
      </w:r>
    </w:p>
    <w:p w:rsidR="00B81AC4" w:rsidRDefault="00B81AC4" w:rsidP="00B81AC4">
      <w:pPr>
        <w:pStyle w:val="Listeafsnit"/>
        <w:numPr>
          <w:ilvl w:val="0"/>
          <w:numId w:val="1"/>
        </w:numPr>
      </w:pPr>
      <w:r w:rsidRPr="009E5D83">
        <w:t xml:space="preserve">Personer, der er indskrevet som ordinære heltidsstuderende. Her er tale om grupper af bachelorstuderende, kandidatstuderende, gymnasial faglig supplering, individuelle studieforløb og andet. </w:t>
      </w:r>
    </w:p>
    <w:p w:rsidR="00B81AC4" w:rsidRDefault="00B81AC4" w:rsidP="00B81AC4">
      <w:pPr>
        <w:pStyle w:val="Listeafsnit"/>
        <w:numPr>
          <w:ilvl w:val="0"/>
          <w:numId w:val="1"/>
        </w:numPr>
      </w:pPr>
      <w:r w:rsidRPr="009E5D83">
        <w:t xml:space="preserve">Personer, der er indskrevet som deltidsstuderende. Her er tale om grupper af </w:t>
      </w:r>
      <w:r w:rsidR="00EB6C14">
        <w:t>masterstuderende, diplomstuderende, tompladsordningen, deltidsstuderende, enkeltfagsstuderende, suppleringsuddannelser samt selvstuderende</w:t>
      </w:r>
      <w:r>
        <w:t>.</w:t>
      </w:r>
    </w:p>
    <w:p w:rsidR="009E5D83" w:rsidRDefault="004A4775" w:rsidP="009E5D83">
      <w:pPr>
        <w:pStyle w:val="Listeafsnit"/>
        <w:numPr>
          <w:ilvl w:val="0"/>
          <w:numId w:val="1"/>
        </w:numPr>
      </w:pPr>
      <w:r w:rsidRPr="009E5D83">
        <w:t xml:space="preserve">Personer, der læser adgangskursus. </w:t>
      </w:r>
    </w:p>
    <w:p w:rsidR="009E5D83" w:rsidRDefault="004A4775" w:rsidP="009E5D83">
      <w:pPr>
        <w:pStyle w:val="Listeafsnit"/>
        <w:numPr>
          <w:ilvl w:val="0"/>
          <w:numId w:val="1"/>
        </w:numPr>
      </w:pPr>
      <w:r w:rsidRPr="009E5D83">
        <w:t xml:space="preserve">Personer, der er indskrevet som gæstestuderende, typisk personer som kommer fra andre universiteter. Her er tale om grupper af bachelorstuderende, enkeltfagsstuderende, kandidatstuderende og udenlandske programstuderende. </w:t>
      </w:r>
    </w:p>
    <w:p w:rsidR="003D517D" w:rsidRDefault="003D517D" w:rsidP="003D517D">
      <w:pPr>
        <w:pStyle w:val="Listeafsnit"/>
        <w:numPr>
          <w:ilvl w:val="0"/>
          <w:numId w:val="1"/>
        </w:numPr>
      </w:pPr>
      <w:r>
        <w:t>P</w:t>
      </w:r>
      <w:r w:rsidRPr="009E5D83">
        <w:t xml:space="preserve">ersoner, der læser på Folkeuniversitetet. </w:t>
      </w:r>
    </w:p>
    <w:p w:rsidR="003D517D" w:rsidRDefault="003D517D" w:rsidP="003D517D">
      <w:pPr>
        <w:pStyle w:val="Listeafsnit"/>
        <w:numPr>
          <w:ilvl w:val="0"/>
          <w:numId w:val="1"/>
        </w:numPr>
      </w:pPr>
      <w:r w:rsidRPr="009E5D83">
        <w:t xml:space="preserve">Personer, der er Ph.d.studerende. Disse er allerede omfattet af APV-kravet. </w:t>
      </w:r>
    </w:p>
    <w:p w:rsidR="00721771" w:rsidRDefault="003D517D" w:rsidP="003D517D">
      <w:pPr>
        <w:pStyle w:val="Listeafsnit"/>
        <w:numPr>
          <w:ilvl w:val="0"/>
          <w:numId w:val="1"/>
        </w:numPr>
      </w:pPr>
      <w:r w:rsidRPr="009E5D83">
        <w:t xml:space="preserve">Hertil kommer muligvis også de personer, der tager kortere og længere kursusforløb i CUU og AUE regi på Syddansk Universitets matrikel. </w:t>
      </w:r>
    </w:p>
    <w:p w:rsidR="00721771" w:rsidRDefault="009E5D83" w:rsidP="00721771">
      <w:r>
        <w:t>O</w:t>
      </w:r>
      <w:r w:rsidR="004A4775" w:rsidRPr="009E5D83">
        <w:t xml:space="preserve">vennævnte personer </w:t>
      </w:r>
      <w:r w:rsidR="00721771">
        <w:t xml:space="preserve">deler generelt set de samme fysiske rammer. Dog gennemføres visse studier på andre lokationer end SDU’s; f.eks. </w:t>
      </w:r>
      <w:r w:rsidR="00EB6C14">
        <w:t>Master i It som indgår i It - Vest samarbejdet og den fleksible master i offentlig ledelse (FMOL), som udbydes i et samarbejde med Århus Universitet</w:t>
      </w:r>
      <w:r w:rsidR="00721771">
        <w:t>.</w:t>
      </w:r>
    </w:p>
    <w:p w:rsidR="00721771" w:rsidRPr="00721771" w:rsidRDefault="00721771" w:rsidP="00721771">
      <w:pPr>
        <w:pStyle w:val="Overskrift1"/>
        <w:rPr>
          <w:sz w:val="24"/>
          <w:szCs w:val="24"/>
        </w:rPr>
      </w:pPr>
      <w:r w:rsidRPr="00721771">
        <w:rPr>
          <w:sz w:val="24"/>
          <w:szCs w:val="24"/>
        </w:rPr>
        <w:t>Indstilling vedr. SDU’s undersøgelse for 2010</w:t>
      </w:r>
    </w:p>
    <w:p w:rsidR="00721771" w:rsidRDefault="00721771" w:rsidP="00721771"/>
    <w:p w:rsidR="00433783" w:rsidRDefault="00721771">
      <w:r>
        <w:t>Det indstilles, at SDU responderer på følgende måde i forhold til populationsoversigten:</w:t>
      </w:r>
    </w:p>
    <w:p w:rsidR="00B81AC4" w:rsidRDefault="00B81AC4" w:rsidP="00B81AC4">
      <w:pPr>
        <w:pStyle w:val="Listeafsnit"/>
        <w:numPr>
          <w:ilvl w:val="0"/>
          <w:numId w:val="2"/>
        </w:numPr>
      </w:pPr>
      <w:r w:rsidRPr="003D517D">
        <w:rPr>
          <w:u w:val="single"/>
        </w:rPr>
        <w:t>Ordinære heltidsstuderende</w:t>
      </w:r>
      <w:r w:rsidRPr="009E5D83">
        <w:t>.</w:t>
      </w:r>
      <w:r>
        <w:t xml:space="preserve"> Gruppen er målgruppe for SDU’s ordinære undersøgelse af studie- og undervisningsmiljøet og omfattes i 2010 af elektronisk minisurvey, lokaleundersøgelse samt fokusgruppeinterviews.</w:t>
      </w:r>
      <w:r w:rsidR="003F3ABD">
        <w:t xml:space="preserve"> Denne gruppe er defineret på samme måde som i 2004 og 2007.</w:t>
      </w:r>
    </w:p>
    <w:p w:rsidR="00B81AC4" w:rsidRDefault="00B81AC4" w:rsidP="00B81AC4">
      <w:pPr>
        <w:pStyle w:val="Listeafsnit"/>
        <w:numPr>
          <w:ilvl w:val="0"/>
          <w:numId w:val="2"/>
        </w:numPr>
      </w:pPr>
      <w:r w:rsidRPr="003D517D">
        <w:rPr>
          <w:u w:val="single"/>
        </w:rPr>
        <w:t>Deltidsstuderende</w:t>
      </w:r>
      <w:r w:rsidRPr="009E5D83">
        <w:t xml:space="preserve">. </w:t>
      </w:r>
      <w:r>
        <w:t>Der gennemføres en minisurvey for deltidsstuderende sideløbende med den ordinære minisurvey for heltidsstuderende. Minisurveyerne vil i hovedtræk lig</w:t>
      </w:r>
      <w:r w:rsidR="00EB6C14">
        <w:t>n</w:t>
      </w:r>
      <w:r>
        <w:t>e hinanden, dog vil den for deltidsstuderende blive suppleret med identifikationsspørgsmål vedr. hvilke fysiske campusser, man læser på</w:t>
      </w:r>
      <w:r w:rsidR="00EB6C14">
        <w:t>.</w:t>
      </w:r>
      <w:r>
        <w:t xml:space="preserve">  </w:t>
      </w:r>
      <w:r w:rsidR="00EB6C14">
        <w:t>Spørgsmål, der skønnes irrelevante for denne gruppe vil blive fjernet, fx spørgsmål om ensomhed</w:t>
      </w:r>
      <w:r>
        <w:t>. I analysearbejdet vil resultaterne grupperes på 3 hovedgrupper: Master</w:t>
      </w:r>
      <w:r w:rsidR="00EB6C14">
        <w:t>, Diplom</w:t>
      </w:r>
      <w:r>
        <w:t xml:space="preserve"> samt Øvrige.</w:t>
      </w:r>
      <w:r w:rsidR="009B455F">
        <w:t xml:space="preserve"> Deltidsstuderende, der samtidig er indskrevet som heltidsstud</w:t>
      </w:r>
      <w:r w:rsidR="00EB6C14">
        <w:t>erende udtrækkes af populationen, da de dækkes af undersøgelsens pkt. a.</w:t>
      </w:r>
    </w:p>
    <w:p w:rsidR="00721771" w:rsidRDefault="003D517D" w:rsidP="00721771">
      <w:pPr>
        <w:pStyle w:val="Listeafsnit"/>
        <w:numPr>
          <w:ilvl w:val="0"/>
          <w:numId w:val="2"/>
        </w:numPr>
      </w:pPr>
      <w:r w:rsidRPr="003D517D">
        <w:rPr>
          <w:u w:val="single"/>
        </w:rPr>
        <w:t>Studerende på</w:t>
      </w:r>
      <w:r w:rsidR="00721771" w:rsidRPr="003D517D">
        <w:rPr>
          <w:u w:val="single"/>
        </w:rPr>
        <w:t xml:space="preserve"> adgangskursus</w:t>
      </w:r>
      <w:r w:rsidR="00721771" w:rsidRPr="009E5D83">
        <w:t xml:space="preserve">. </w:t>
      </w:r>
      <w:r w:rsidR="009633A9">
        <w:t xml:space="preserve">Populationen medtages i den elektroniske minisurvey i den ordinære undersøgelse for heltidsstuderende. Populationen medtages ikke i de opfølgende undersøgelser vedr. lokaleundersøgelse og fokusgruppeinterview. </w:t>
      </w:r>
    </w:p>
    <w:p w:rsidR="003D517D" w:rsidRDefault="009633A9" w:rsidP="003D517D">
      <w:pPr>
        <w:pStyle w:val="Listeafsnit"/>
        <w:numPr>
          <w:ilvl w:val="0"/>
          <w:numId w:val="2"/>
        </w:numPr>
      </w:pPr>
      <w:r w:rsidRPr="003D517D">
        <w:rPr>
          <w:u w:val="single"/>
        </w:rPr>
        <w:t>G</w:t>
      </w:r>
      <w:r w:rsidR="00721771" w:rsidRPr="003D517D">
        <w:rPr>
          <w:u w:val="single"/>
        </w:rPr>
        <w:t>æstestuderende</w:t>
      </w:r>
      <w:r>
        <w:t xml:space="preserve">. Gæstestuderende er </w:t>
      </w:r>
      <w:r w:rsidR="00721771" w:rsidRPr="009E5D83">
        <w:t xml:space="preserve">typisk </w:t>
      </w:r>
      <w:r>
        <w:t xml:space="preserve">indskrevet på </w:t>
      </w:r>
      <w:r w:rsidR="00721771" w:rsidRPr="009E5D83">
        <w:t>andre universiteter</w:t>
      </w:r>
      <w:r>
        <w:t xml:space="preserve"> og undersøgelse af deres studieforhold forventes at være dækket herigennem</w:t>
      </w:r>
      <w:r w:rsidR="00721771" w:rsidRPr="009E5D83">
        <w:t xml:space="preserve">. </w:t>
      </w:r>
      <w:r>
        <w:t xml:space="preserve">Gruppen er sammensat så inhomogent, at det ikke giver mening at udtrække særanalyser i den ordinære undersøgelse for heltidsstuderende. </w:t>
      </w:r>
      <w:r w:rsidR="00B81AC4">
        <w:t xml:space="preserve">Da gæstestuderende ofte indgår i de samme studieforhold på SDU’s matrikler som heltidsstuderende vurderes det, at deres </w:t>
      </w:r>
      <w:r>
        <w:t>studieforhold vil være dækket i den ordinære undersøgelse blandt heltidsstuderende</w:t>
      </w:r>
      <w:r w:rsidR="00B81AC4">
        <w:t>. Det foreslås, at man decentralt på de enkelte studier opfordres til at overveje om der skulle være særlige forhold for gæstestuderendes studiemiljø på SDU’s matrikel, som særskilt bør undersøges.</w:t>
      </w:r>
    </w:p>
    <w:p w:rsidR="003D517D" w:rsidRDefault="003D517D" w:rsidP="003D517D">
      <w:pPr>
        <w:pStyle w:val="Listeafsnit"/>
        <w:numPr>
          <w:ilvl w:val="0"/>
          <w:numId w:val="2"/>
        </w:numPr>
      </w:pPr>
      <w:r w:rsidRPr="009B455F">
        <w:rPr>
          <w:u w:val="single"/>
        </w:rPr>
        <w:t>Studerende på Folkeuniversitetet</w:t>
      </w:r>
      <w:r w:rsidRPr="009E5D83">
        <w:t xml:space="preserve">. </w:t>
      </w:r>
      <w:r>
        <w:t>En selvstændig enhed, som SDU ikke gennemfører undersøgelser for.</w:t>
      </w:r>
    </w:p>
    <w:p w:rsidR="00721771" w:rsidRDefault="003D517D" w:rsidP="003D517D">
      <w:pPr>
        <w:pStyle w:val="Listeafsnit"/>
        <w:numPr>
          <w:ilvl w:val="0"/>
          <w:numId w:val="2"/>
        </w:numPr>
      </w:pPr>
      <w:r w:rsidRPr="009B455F">
        <w:rPr>
          <w:u w:val="single"/>
        </w:rPr>
        <w:t>Ph.d.studerende</w:t>
      </w:r>
      <w:r w:rsidRPr="009E5D83">
        <w:t xml:space="preserve">. Disse er omfattet af </w:t>
      </w:r>
      <w:r>
        <w:t>kravet om arbejdspladsvurdering</w:t>
      </w:r>
      <w:r w:rsidRPr="009E5D83">
        <w:t xml:space="preserve">. </w:t>
      </w:r>
    </w:p>
    <w:p w:rsidR="00721771" w:rsidRDefault="009B455F" w:rsidP="00721771">
      <w:pPr>
        <w:pStyle w:val="Listeafsnit"/>
        <w:numPr>
          <w:ilvl w:val="0"/>
          <w:numId w:val="2"/>
        </w:numPr>
      </w:pPr>
      <w:r w:rsidRPr="009B455F">
        <w:rPr>
          <w:u w:val="single"/>
        </w:rPr>
        <w:t>Studerende ved</w:t>
      </w:r>
      <w:r w:rsidR="00721771" w:rsidRPr="009B455F">
        <w:rPr>
          <w:u w:val="single"/>
        </w:rPr>
        <w:t xml:space="preserve"> CUU og AUE</w:t>
      </w:r>
      <w:r w:rsidR="00721771" w:rsidRPr="009E5D83">
        <w:t xml:space="preserve"> regi på Syddansk Universitets matrikel. </w:t>
      </w:r>
      <w:r>
        <w:t xml:space="preserve"> Disse opfattes i denne sammenhæng at være ansatte ved et af universiteterne og tilbydes derfor APV på deres arbejdsplads.</w:t>
      </w:r>
    </w:p>
    <w:p w:rsidR="00721771" w:rsidRDefault="00721771"/>
    <w:p w:rsidR="009E5D83" w:rsidRDefault="009E5D83"/>
    <w:p w:rsidR="009E5D83" w:rsidRDefault="009E5D83">
      <w:r w:rsidRPr="009E5D83">
        <w:br/>
      </w:r>
      <w:r w:rsidRPr="009E5D83">
        <w:br/>
      </w:r>
    </w:p>
    <w:sectPr w:rsidR="009E5D83" w:rsidSect="0043378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B0A5F"/>
    <w:multiLevelType w:val="hybridMultilevel"/>
    <w:tmpl w:val="9D36A67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3181FF9"/>
    <w:multiLevelType w:val="hybridMultilevel"/>
    <w:tmpl w:val="9D36A67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4A4775"/>
    <w:rsid w:val="00106AE8"/>
    <w:rsid w:val="00190D94"/>
    <w:rsid w:val="001D1402"/>
    <w:rsid w:val="0023738C"/>
    <w:rsid w:val="00353661"/>
    <w:rsid w:val="0037501C"/>
    <w:rsid w:val="003D517D"/>
    <w:rsid w:val="003F3ABD"/>
    <w:rsid w:val="00433783"/>
    <w:rsid w:val="004A4775"/>
    <w:rsid w:val="004E5DAC"/>
    <w:rsid w:val="00503125"/>
    <w:rsid w:val="005A7E26"/>
    <w:rsid w:val="005C4204"/>
    <w:rsid w:val="00691AC6"/>
    <w:rsid w:val="006B5F9E"/>
    <w:rsid w:val="00721771"/>
    <w:rsid w:val="00745D0E"/>
    <w:rsid w:val="007E11BC"/>
    <w:rsid w:val="00816E0E"/>
    <w:rsid w:val="008B466C"/>
    <w:rsid w:val="009633A9"/>
    <w:rsid w:val="009B455F"/>
    <w:rsid w:val="009E5D83"/>
    <w:rsid w:val="00A77D00"/>
    <w:rsid w:val="00AF0A78"/>
    <w:rsid w:val="00B81AC4"/>
    <w:rsid w:val="00C146C6"/>
    <w:rsid w:val="00D10132"/>
    <w:rsid w:val="00D25D0B"/>
    <w:rsid w:val="00D64DEF"/>
    <w:rsid w:val="00EB6C14"/>
    <w:rsid w:val="00EE1B5F"/>
    <w:rsid w:val="00F9729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83"/>
  </w:style>
  <w:style w:type="paragraph" w:styleId="Overskrift1">
    <w:name w:val="heading 1"/>
    <w:basedOn w:val="Normal"/>
    <w:next w:val="Normal"/>
    <w:link w:val="Overskrift1Tegn"/>
    <w:uiPriority w:val="9"/>
    <w:qFormat/>
    <w:rsid w:val="009E5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A4775"/>
    <w:rPr>
      <w:strike w:val="0"/>
      <w:dstrike w:val="0"/>
      <w:color w:val="003399"/>
      <w:u w:val="none"/>
      <w:effect w:val="none"/>
    </w:rPr>
  </w:style>
  <w:style w:type="paragraph" w:customStyle="1" w:styleId="q-details">
    <w:name w:val="q-details"/>
    <w:basedOn w:val="Normal"/>
    <w:rsid w:val="004A47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E5D83"/>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uiPriority w:val="10"/>
    <w:qFormat/>
    <w:rsid w:val="009E5D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D83"/>
    <w:rPr>
      <w:rFonts w:asciiTheme="majorHAnsi" w:eastAsiaTheme="majorEastAsia" w:hAnsiTheme="majorHAnsi" w:cstheme="majorBidi"/>
      <w:color w:val="17365D" w:themeColor="text2" w:themeShade="BF"/>
      <w:spacing w:val="5"/>
      <w:kern w:val="28"/>
      <w:sz w:val="52"/>
      <w:szCs w:val="52"/>
    </w:rPr>
  </w:style>
  <w:style w:type="character" w:styleId="BesgtHyperlink">
    <w:name w:val="FollowedHyperlink"/>
    <w:basedOn w:val="Standardskrifttypeiafsnit"/>
    <w:uiPriority w:val="99"/>
    <w:semiHidden/>
    <w:unhideWhenUsed/>
    <w:rsid w:val="009E5D83"/>
    <w:rPr>
      <w:color w:val="800080" w:themeColor="followedHyperlink"/>
      <w:u w:val="single"/>
    </w:rPr>
  </w:style>
  <w:style w:type="paragraph" w:styleId="Listeafsnit">
    <w:name w:val="List Paragraph"/>
    <w:basedOn w:val="Normal"/>
    <w:uiPriority w:val="34"/>
    <w:qFormat/>
    <w:rsid w:val="009E5D83"/>
    <w:pPr>
      <w:ind w:left="720"/>
      <w:contextualSpacing/>
    </w:pPr>
  </w:style>
  <w:style w:type="character" w:styleId="Kommentarhenvisning">
    <w:name w:val="annotation reference"/>
    <w:basedOn w:val="Standardskrifttypeiafsnit"/>
    <w:uiPriority w:val="99"/>
    <w:semiHidden/>
    <w:unhideWhenUsed/>
    <w:rsid w:val="00A77D00"/>
    <w:rPr>
      <w:sz w:val="16"/>
      <w:szCs w:val="16"/>
    </w:rPr>
  </w:style>
  <w:style w:type="paragraph" w:styleId="Kommentartekst">
    <w:name w:val="annotation text"/>
    <w:basedOn w:val="Normal"/>
    <w:link w:val="KommentartekstTegn"/>
    <w:uiPriority w:val="99"/>
    <w:semiHidden/>
    <w:unhideWhenUsed/>
    <w:rsid w:val="00A77D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77D00"/>
    <w:rPr>
      <w:sz w:val="20"/>
      <w:szCs w:val="20"/>
    </w:rPr>
  </w:style>
  <w:style w:type="paragraph" w:styleId="Kommentaremne">
    <w:name w:val="annotation subject"/>
    <w:basedOn w:val="Kommentartekst"/>
    <w:next w:val="Kommentartekst"/>
    <w:link w:val="KommentaremneTegn"/>
    <w:uiPriority w:val="99"/>
    <w:semiHidden/>
    <w:unhideWhenUsed/>
    <w:rsid w:val="00A77D00"/>
    <w:rPr>
      <w:b/>
      <w:bCs/>
    </w:rPr>
  </w:style>
  <w:style w:type="character" w:customStyle="1" w:styleId="KommentaremneTegn">
    <w:name w:val="Kommentaremne Tegn"/>
    <w:basedOn w:val="KommentartekstTegn"/>
    <w:link w:val="Kommentaremne"/>
    <w:uiPriority w:val="99"/>
    <w:semiHidden/>
    <w:rsid w:val="00A77D00"/>
    <w:rPr>
      <w:b/>
      <w:bCs/>
    </w:rPr>
  </w:style>
  <w:style w:type="paragraph" w:styleId="Markeringsbobletekst">
    <w:name w:val="Balloon Text"/>
    <w:basedOn w:val="Normal"/>
    <w:link w:val="MarkeringsbobletekstTegn"/>
    <w:uiPriority w:val="99"/>
    <w:semiHidden/>
    <w:unhideWhenUsed/>
    <w:rsid w:val="00A77D0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77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364343">
      <w:bodyDiv w:val="1"/>
      <w:marLeft w:val="0"/>
      <w:marRight w:val="0"/>
      <w:marTop w:val="0"/>
      <w:marBottom w:val="0"/>
      <w:divBdr>
        <w:top w:val="none" w:sz="0" w:space="0" w:color="auto"/>
        <w:left w:val="none" w:sz="0" w:space="0" w:color="auto"/>
        <w:bottom w:val="none" w:sz="0" w:space="0" w:color="auto"/>
        <w:right w:val="none" w:sz="0" w:space="0" w:color="auto"/>
      </w:divBdr>
      <w:divsChild>
        <w:div w:id="1577856982">
          <w:marLeft w:val="0"/>
          <w:marRight w:val="0"/>
          <w:marTop w:val="0"/>
          <w:marBottom w:val="0"/>
          <w:divBdr>
            <w:top w:val="none" w:sz="0" w:space="0" w:color="auto"/>
            <w:left w:val="none" w:sz="0" w:space="0" w:color="auto"/>
            <w:bottom w:val="none" w:sz="0" w:space="0" w:color="auto"/>
            <w:right w:val="none" w:sz="0" w:space="0" w:color="auto"/>
          </w:divBdr>
          <w:divsChild>
            <w:div w:id="1672950226">
              <w:marLeft w:val="0"/>
              <w:marRight w:val="0"/>
              <w:marTop w:val="0"/>
              <w:marBottom w:val="0"/>
              <w:divBdr>
                <w:top w:val="none" w:sz="0" w:space="0" w:color="auto"/>
                <w:left w:val="none" w:sz="0" w:space="0" w:color="auto"/>
                <w:bottom w:val="none" w:sz="0" w:space="0" w:color="auto"/>
                <w:right w:val="none" w:sz="0" w:space="0" w:color="auto"/>
              </w:divBdr>
              <w:divsChild>
                <w:div w:id="1526482478">
                  <w:marLeft w:val="0"/>
                  <w:marRight w:val="0"/>
                  <w:marTop w:val="0"/>
                  <w:marBottom w:val="0"/>
                  <w:divBdr>
                    <w:top w:val="none" w:sz="0" w:space="0" w:color="auto"/>
                    <w:left w:val="none" w:sz="0" w:space="0" w:color="auto"/>
                    <w:bottom w:val="none" w:sz="0" w:space="0" w:color="auto"/>
                    <w:right w:val="none" w:sz="0" w:space="0" w:color="auto"/>
                  </w:divBdr>
                  <w:divsChild>
                    <w:div w:id="18355460">
                      <w:marLeft w:val="0"/>
                      <w:marRight w:val="0"/>
                      <w:marTop w:val="0"/>
                      <w:marBottom w:val="0"/>
                      <w:divBdr>
                        <w:top w:val="none" w:sz="0" w:space="0" w:color="auto"/>
                        <w:left w:val="none" w:sz="0" w:space="0" w:color="auto"/>
                        <w:bottom w:val="none" w:sz="0" w:space="0" w:color="auto"/>
                        <w:right w:val="none" w:sz="0" w:space="0" w:color="auto"/>
                      </w:divBdr>
                      <w:divsChild>
                        <w:div w:id="650254931">
                          <w:marLeft w:val="0"/>
                          <w:marRight w:val="0"/>
                          <w:marTop w:val="0"/>
                          <w:marBottom w:val="0"/>
                          <w:divBdr>
                            <w:top w:val="none" w:sz="0" w:space="0" w:color="auto"/>
                            <w:left w:val="none" w:sz="0" w:space="0" w:color="auto"/>
                            <w:bottom w:val="none" w:sz="0" w:space="0" w:color="auto"/>
                            <w:right w:val="none" w:sz="0" w:space="0" w:color="auto"/>
                          </w:divBdr>
                          <w:divsChild>
                            <w:div w:id="2106458266">
                              <w:marLeft w:val="0"/>
                              <w:marRight w:val="0"/>
                              <w:marTop w:val="0"/>
                              <w:marBottom w:val="0"/>
                              <w:divBdr>
                                <w:top w:val="none" w:sz="0" w:space="0" w:color="auto"/>
                                <w:left w:val="none" w:sz="0" w:space="0" w:color="auto"/>
                                <w:bottom w:val="none" w:sz="0" w:space="0" w:color="auto"/>
                                <w:right w:val="none" w:sz="0" w:space="0" w:color="auto"/>
                              </w:divBdr>
                              <w:divsChild>
                                <w:div w:id="9646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kedin.com/redirect?url=http%3A%2F%2Fwebarkiv%2Eft%2Edk%2F%3F%2Fsamling%2F20001%2Flovforslag_som_vedtaget%2Fl40%2Ehtm&amp;urlhash=OnCV"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Skov Habermann</dc:creator>
  <cp:keywords/>
  <dc:description/>
  <cp:lastModifiedBy>Lise Bille Byriel</cp:lastModifiedBy>
  <cp:revision>2</cp:revision>
  <cp:lastPrinted>2010-01-22T11:52:00Z</cp:lastPrinted>
  <dcterms:created xsi:type="dcterms:W3CDTF">2010-01-26T06:51:00Z</dcterms:created>
  <dcterms:modified xsi:type="dcterms:W3CDTF">2010-01-26T06:51:00Z</dcterms:modified>
</cp:coreProperties>
</file>